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FA9F6">
      <w:pPr>
        <w:spacing w:after="78" w:afterLines="25"/>
        <w:jc w:val="center"/>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上海建桥学院 专业选修课选课要求说明</w:t>
      </w:r>
    </w:p>
    <w:p w14:paraId="26925F2A">
      <w:pPr>
        <w:jc w:val="center"/>
        <w:rPr>
          <w:rFonts w:hint="default" w:ascii="Times New Roman" w:hAnsi="Times New Roman" w:eastAsia="黑体" w:cs="Times New Roman"/>
          <w:sz w:val="24"/>
          <w:szCs w:val="32"/>
        </w:rPr>
      </w:pPr>
      <w:r>
        <w:rPr>
          <w:rFonts w:hint="default" w:ascii="Times New Roman" w:hAnsi="Times New Roman" w:eastAsia="黑体" w:cs="Times New Roman"/>
          <w:sz w:val="24"/>
          <w:szCs w:val="32"/>
          <w:u w:val="single"/>
        </w:rPr>
        <w:t>2</w:t>
      </w:r>
      <w:r>
        <w:rPr>
          <w:rFonts w:hint="default" w:ascii="Times New Roman" w:hAnsi="Times New Roman" w:eastAsia="黑体" w:cs="Times New Roman"/>
          <w:sz w:val="24"/>
          <w:szCs w:val="32"/>
          <w:u w:val="single"/>
        </w:rPr>
        <w:t>02</w:t>
      </w:r>
      <w:r>
        <w:rPr>
          <w:rFonts w:hint="default" w:ascii="Times New Roman" w:hAnsi="Times New Roman" w:eastAsia="黑体" w:cs="Times New Roman"/>
          <w:sz w:val="24"/>
          <w:szCs w:val="32"/>
          <w:u w:val="single"/>
          <w:lang w:val="en-US" w:eastAsia="zh-CN"/>
        </w:rPr>
        <w:t>5</w:t>
      </w:r>
      <w:r>
        <w:rPr>
          <w:rFonts w:hint="default" w:ascii="Times New Roman" w:hAnsi="Times New Roman" w:eastAsia="黑体" w:cs="Times New Roman"/>
          <w:sz w:val="24"/>
          <w:szCs w:val="32"/>
          <w:u w:val="single"/>
        </w:rPr>
        <w:t>-202</w:t>
      </w:r>
      <w:r>
        <w:rPr>
          <w:rFonts w:hint="default" w:ascii="Times New Roman" w:hAnsi="Times New Roman" w:eastAsia="黑体" w:cs="Times New Roman"/>
          <w:sz w:val="24"/>
          <w:szCs w:val="32"/>
          <w:u w:val="single"/>
          <w:lang w:val="en-US" w:eastAsia="zh-CN"/>
        </w:rPr>
        <w:t>6</w:t>
      </w:r>
      <w:r>
        <w:rPr>
          <w:rFonts w:hint="default" w:ascii="Times New Roman" w:hAnsi="Times New Roman" w:eastAsia="黑体" w:cs="Times New Roman"/>
          <w:sz w:val="24"/>
          <w:szCs w:val="32"/>
        </w:rPr>
        <w:t>学年第</w:t>
      </w:r>
      <w:r>
        <w:rPr>
          <w:rFonts w:hint="default" w:ascii="Times New Roman" w:hAnsi="Times New Roman" w:eastAsia="黑体" w:cs="Times New Roman"/>
          <w:sz w:val="24"/>
          <w:szCs w:val="32"/>
          <w:u w:val="single"/>
          <w:lang w:val="en-US" w:eastAsia="zh-CN"/>
        </w:rPr>
        <w:t>2</w:t>
      </w:r>
      <w:r>
        <w:rPr>
          <w:rFonts w:hint="default" w:ascii="Times New Roman" w:hAnsi="Times New Roman" w:eastAsia="黑体" w:cs="Times New Roman"/>
          <w:sz w:val="24"/>
          <w:szCs w:val="32"/>
        </w:rPr>
        <w:t>学期</w:t>
      </w:r>
      <w:r>
        <w:rPr>
          <w:rFonts w:hint="default" w:ascii="Times New Roman" w:hAnsi="Times New Roman" w:eastAsia="黑体" w:cs="Times New Roman"/>
          <w:sz w:val="24"/>
          <w:szCs w:val="32"/>
        </w:rPr>
        <w:t xml:space="preserve"> </w:t>
      </w:r>
      <w:r>
        <w:rPr>
          <w:rFonts w:hint="default" w:ascii="Times New Roman" w:hAnsi="Times New Roman" w:eastAsia="黑体" w:cs="Times New Roman"/>
          <w:sz w:val="24"/>
          <w:szCs w:val="32"/>
          <w:u w:val="single"/>
        </w:rPr>
        <w:t xml:space="preserve"> </w:t>
      </w:r>
      <w:r>
        <w:rPr>
          <w:rFonts w:hint="default" w:ascii="Times New Roman" w:hAnsi="Times New Roman" w:eastAsia="黑体" w:cs="Times New Roman"/>
          <w:sz w:val="24"/>
          <w:szCs w:val="32"/>
          <w:u w:val="single"/>
          <w:lang w:val="en-US" w:eastAsia="zh-CN"/>
        </w:rPr>
        <w:t>职业技术</w:t>
      </w:r>
      <w:r>
        <w:rPr>
          <w:rFonts w:hint="default" w:ascii="Times New Roman" w:hAnsi="Times New Roman" w:eastAsia="黑体" w:cs="Times New Roman"/>
          <w:sz w:val="24"/>
          <w:szCs w:val="32"/>
          <w:u w:val="single"/>
        </w:rPr>
        <w:t xml:space="preserve"> </w:t>
      </w:r>
      <w:r>
        <w:rPr>
          <w:rFonts w:hint="default" w:ascii="Times New Roman" w:hAnsi="Times New Roman" w:eastAsia="黑体" w:cs="Times New Roman"/>
          <w:sz w:val="24"/>
          <w:szCs w:val="32"/>
        </w:rPr>
        <w:t>学院</w:t>
      </w:r>
      <w:r>
        <w:rPr>
          <w:rFonts w:hint="default" w:ascii="Times New Roman" w:hAnsi="Times New Roman" w:eastAsia="黑体" w:cs="Times New Roman"/>
          <w:sz w:val="24"/>
          <w:szCs w:val="32"/>
        </w:rPr>
        <w:t xml:space="preserve"> </w:t>
      </w:r>
      <w:r>
        <w:rPr>
          <w:rFonts w:hint="default" w:ascii="Times New Roman" w:hAnsi="Times New Roman" w:eastAsia="黑体" w:cs="Times New Roman"/>
          <w:sz w:val="24"/>
          <w:szCs w:val="32"/>
          <w:u w:val="single"/>
        </w:rPr>
        <w:t xml:space="preserve"> </w:t>
      </w:r>
      <w:r>
        <w:rPr>
          <w:rFonts w:hint="default" w:ascii="Times New Roman" w:hAnsi="Times New Roman" w:eastAsia="黑体" w:cs="Times New Roman"/>
          <w:sz w:val="24"/>
          <w:szCs w:val="32"/>
          <w:u w:val="single"/>
          <w:lang w:val="en-US" w:eastAsia="zh-CN"/>
        </w:rPr>
        <w:t>机电一体化技术</w:t>
      </w:r>
      <w:r>
        <w:rPr>
          <w:rFonts w:hint="default" w:ascii="Times New Roman" w:hAnsi="Times New Roman" w:eastAsia="黑体" w:cs="Times New Roman"/>
          <w:sz w:val="24"/>
          <w:szCs w:val="32"/>
          <w:u w:val="single"/>
        </w:rPr>
        <w:t xml:space="preserve"> </w:t>
      </w:r>
      <w:r>
        <w:rPr>
          <w:rFonts w:hint="default" w:ascii="Times New Roman" w:hAnsi="Times New Roman" w:eastAsia="黑体" w:cs="Times New Roman"/>
          <w:sz w:val="24"/>
          <w:szCs w:val="32"/>
        </w:rPr>
        <w:t>专业</w:t>
      </w:r>
    </w:p>
    <w:p w14:paraId="00B8F90F">
      <w:pPr>
        <w:rPr>
          <w:rFonts w:hint="default" w:ascii="Times New Roman" w:hAnsi="Times New Roman" w:cs="Times New Roman"/>
        </w:rPr>
      </w:pPr>
    </w:p>
    <w:p w14:paraId="76F3AD7D">
      <w:pPr>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课程组1</w:t>
      </w:r>
      <w:r>
        <w:rPr>
          <w:rFonts w:hint="default" w:ascii="Times New Roman" w:hAnsi="Times New Roman" w:eastAsia="宋体" w:cs="Times New Roman"/>
          <w:sz w:val="24"/>
          <w:szCs w:val="32"/>
        </w:rPr>
        <w:t xml:space="preserve">  应选学分</w:t>
      </w:r>
      <w:r>
        <w:rPr>
          <w:rFonts w:hint="default" w:ascii="Times New Roman" w:hAnsi="Times New Roman" w:eastAsia="宋体" w:cs="Times New Roman"/>
          <w:sz w:val="24"/>
          <w:szCs w:val="32"/>
        </w:rPr>
        <w:t>：（</w:t>
      </w:r>
      <w:r>
        <w:rPr>
          <w:rFonts w:hint="default" w:ascii="Times New Roman" w:hAnsi="Times New Roman" w:eastAsia="宋体" w:cs="Times New Roman"/>
          <w:sz w:val="24"/>
          <w:szCs w:val="32"/>
        </w:rPr>
        <w:t xml:space="preserve"> </w:t>
      </w:r>
      <w:r>
        <w:rPr>
          <w:rFonts w:hint="default" w:ascii="Times New Roman" w:hAnsi="Times New Roman" w:eastAsia="宋体" w:cs="Times New Roman"/>
          <w:sz w:val="24"/>
          <w:szCs w:val="32"/>
          <w:lang w:val="en-US" w:eastAsia="zh-CN"/>
        </w:rPr>
        <w:t>2</w:t>
      </w:r>
      <w:r>
        <w:rPr>
          <w:rFonts w:hint="default" w:ascii="Times New Roman" w:hAnsi="Times New Roman" w:eastAsia="宋体" w:cs="Times New Roman"/>
          <w:sz w:val="24"/>
          <w:szCs w:val="32"/>
        </w:rPr>
        <w:t xml:space="preserve"> ）分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3D7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17" w:type="dxa"/>
            <w:vAlign w:val="center"/>
          </w:tcPr>
          <w:p w14:paraId="400B76CF">
            <w:pPr>
              <w:jc w:val="center"/>
              <w:rPr>
                <w:rFonts w:hint="default" w:ascii="Times New Roman" w:hAnsi="Times New Roman" w:eastAsia="黑体" w:cs="Times New Roman"/>
                <w:szCs w:val="21"/>
              </w:rPr>
            </w:pPr>
            <w:r>
              <w:rPr>
                <w:rFonts w:hint="default" w:ascii="Times New Roman" w:hAnsi="Times New Roman" w:eastAsia="黑体" w:cs="Times New Roman"/>
                <w:szCs w:val="21"/>
              </w:rPr>
              <w:t>课程（代码）</w:t>
            </w:r>
          </w:p>
        </w:tc>
        <w:tc>
          <w:tcPr>
            <w:tcW w:w="646" w:type="dxa"/>
            <w:vAlign w:val="center"/>
          </w:tcPr>
          <w:p w14:paraId="12D9C1B0">
            <w:pPr>
              <w:jc w:val="center"/>
              <w:rPr>
                <w:rFonts w:hint="default" w:ascii="Times New Roman" w:hAnsi="Times New Roman" w:eastAsia="黑体" w:cs="Times New Roman"/>
                <w:szCs w:val="21"/>
              </w:rPr>
            </w:pPr>
            <w:r>
              <w:rPr>
                <w:rFonts w:hint="default" w:ascii="Times New Roman" w:hAnsi="Times New Roman" w:eastAsia="黑体" w:cs="Times New Roman"/>
                <w:szCs w:val="21"/>
              </w:rPr>
              <w:t>学分</w:t>
            </w:r>
          </w:p>
        </w:tc>
        <w:tc>
          <w:tcPr>
            <w:tcW w:w="6753" w:type="dxa"/>
            <w:vAlign w:val="center"/>
          </w:tcPr>
          <w:p w14:paraId="46E83249">
            <w:pPr>
              <w:jc w:val="center"/>
              <w:rPr>
                <w:rFonts w:hint="default" w:ascii="Times New Roman" w:hAnsi="Times New Roman" w:eastAsia="黑体" w:cs="Times New Roman"/>
                <w:szCs w:val="21"/>
              </w:rPr>
            </w:pPr>
            <w:r>
              <w:rPr>
                <w:rFonts w:hint="default" w:ascii="Times New Roman" w:hAnsi="Times New Roman" w:eastAsia="黑体" w:cs="Times New Roman"/>
                <w:szCs w:val="21"/>
              </w:rPr>
              <w:t>课程简介</w:t>
            </w:r>
          </w:p>
        </w:tc>
      </w:tr>
      <w:tr w14:paraId="557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505AD2BD">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PLC工业应用（</w:t>
            </w:r>
            <w:r>
              <w:rPr>
                <w:rFonts w:hint="default" w:ascii="Times New Roman" w:hAnsi="Times New Roman" w:eastAsia="黑体" w:cs="Times New Roman"/>
                <w:sz w:val="21"/>
                <w:szCs w:val="21"/>
                <w:lang w:val="en-US" w:eastAsia="zh-CN"/>
              </w:rPr>
              <w:t>0010166</w:t>
            </w:r>
            <w:r>
              <w:rPr>
                <w:rFonts w:hint="default" w:ascii="Times New Roman" w:hAnsi="Times New Roman" w:eastAsia="黑体" w:cs="Times New Roman"/>
                <w:sz w:val="21"/>
                <w:szCs w:val="21"/>
              </w:rPr>
              <w:t>）</w:t>
            </w:r>
          </w:p>
        </w:tc>
        <w:tc>
          <w:tcPr>
            <w:tcW w:w="646" w:type="dxa"/>
            <w:vAlign w:val="center"/>
          </w:tcPr>
          <w:p w14:paraId="47538376">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2</w:t>
            </w:r>
          </w:p>
        </w:tc>
        <w:tc>
          <w:tcPr>
            <w:tcW w:w="6753" w:type="dxa"/>
            <w:vAlign w:val="top"/>
          </w:tcPr>
          <w:p w14:paraId="0B88353D">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卢明阳</w:t>
            </w:r>
            <w:r>
              <w:rPr>
                <w:rFonts w:hint="default" w:ascii="Times New Roman" w:hAnsi="Times New Roman" w:eastAsia="黑体" w:cs="Times New Roman"/>
                <w:sz w:val="21"/>
                <w:szCs w:val="21"/>
              </w:rPr>
              <w:t>，男</w:t>
            </w:r>
            <w:r>
              <w:rPr>
                <w:rFonts w:hint="default" w:ascii="Times New Roman" w:hAnsi="Times New Roman" w:eastAsia="黑体" w:cs="Times New Roman"/>
                <w:sz w:val="21"/>
                <w:szCs w:val="21"/>
                <w:lang w:val="en-US" w:eastAsia="zh-CN"/>
              </w:rPr>
              <w:t>，讲师</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电工电子硕士研究生</w:t>
            </w:r>
            <w:r>
              <w:rPr>
                <w:rFonts w:hint="default" w:ascii="Times New Roman" w:hAnsi="Times New Roman" w:eastAsia="黑体" w:cs="Times New Roman"/>
                <w:sz w:val="21"/>
                <w:szCs w:val="21"/>
              </w:rPr>
              <w:t>。</w:t>
            </w:r>
          </w:p>
          <w:p w14:paraId="69958423">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PLC工业应用</w:t>
            </w: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是机电一体化专业的一门重要的专业基础课，其目的是通过学习，使学生熟悉常用的低压电器，掌握识读与绘制机电设备电气线路的方法，在理解交直流电机控制基本环节和典型机床线路控制原理基础上，能安装调试典型机电设备电气控制线路；同时对PLC结构原理以及在数控机床等电气控制中的应用有一个框架基础性的了解，基本掌握PLC指令和编程调试方法；基本具备电气设备安装调试和常见故障的分析处理能力，为进一步学习后续专业课程奠定良好的基础。</w:t>
            </w:r>
          </w:p>
        </w:tc>
      </w:tr>
      <w:tr w14:paraId="4D11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7AD71808">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物联网技术</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0050176</w:t>
            </w:r>
            <w:r>
              <w:rPr>
                <w:rFonts w:hint="default" w:ascii="Times New Roman" w:hAnsi="Times New Roman" w:eastAsia="黑体" w:cs="Times New Roman"/>
                <w:sz w:val="21"/>
                <w:szCs w:val="21"/>
              </w:rPr>
              <w:t>）</w:t>
            </w:r>
          </w:p>
        </w:tc>
        <w:tc>
          <w:tcPr>
            <w:tcW w:w="646" w:type="dxa"/>
            <w:vAlign w:val="center"/>
          </w:tcPr>
          <w:p w14:paraId="28C1E052">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2</w:t>
            </w:r>
          </w:p>
        </w:tc>
        <w:tc>
          <w:tcPr>
            <w:tcW w:w="6753" w:type="dxa"/>
            <w:vAlign w:val="top"/>
          </w:tcPr>
          <w:p w14:paraId="3D99E006">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卢明阳</w:t>
            </w:r>
            <w:r>
              <w:rPr>
                <w:rFonts w:hint="default" w:ascii="Times New Roman" w:hAnsi="Times New Roman" w:eastAsia="黑体" w:cs="Times New Roman"/>
                <w:sz w:val="21"/>
                <w:szCs w:val="21"/>
              </w:rPr>
              <w:t>，男</w:t>
            </w:r>
            <w:r>
              <w:rPr>
                <w:rFonts w:hint="default" w:ascii="Times New Roman" w:hAnsi="Times New Roman" w:eastAsia="黑体" w:cs="Times New Roman"/>
                <w:sz w:val="21"/>
                <w:szCs w:val="21"/>
                <w:lang w:val="en-US" w:eastAsia="zh-CN"/>
              </w:rPr>
              <w:t>，讲师</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电工电子硕士研究生</w:t>
            </w:r>
            <w:r>
              <w:rPr>
                <w:rFonts w:hint="default" w:ascii="Times New Roman" w:hAnsi="Times New Roman" w:eastAsia="黑体" w:cs="Times New Roman"/>
                <w:sz w:val="21"/>
                <w:szCs w:val="21"/>
              </w:rPr>
              <w:t>。</w:t>
            </w:r>
          </w:p>
          <w:p w14:paraId="3EB3970C">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lang w:val="en-US" w:eastAsia="zh-CN"/>
              </w:rPr>
              <w:t>物联网技术</w:t>
            </w: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是介绍物联网综合应用的课程，是一门专业选修课，通过该课程的学习，使学生能够掌握物联网的相关理论知识、操作技能，并能通过使用 Arduino + ESP8266完成物联网相关实际应用案例的 设计和制作，通过本课程的学习将提高学生对物联网关键技术的掌握能力，并能自行设计相关物 联网应用场景，从而为后续课程的学习打下良好的基础。</w:t>
            </w:r>
          </w:p>
        </w:tc>
      </w:tr>
      <w:tr w14:paraId="6C8A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2B2F524D">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计算机网络与维护</w:t>
            </w:r>
          </w:p>
          <w:p w14:paraId="4690AFB3">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0010113</w:t>
            </w:r>
            <w:r>
              <w:rPr>
                <w:rFonts w:hint="default" w:ascii="Times New Roman" w:hAnsi="Times New Roman" w:eastAsia="黑体" w:cs="Times New Roman"/>
                <w:sz w:val="21"/>
                <w:szCs w:val="21"/>
              </w:rPr>
              <w:t>）</w:t>
            </w:r>
          </w:p>
        </w:tc>
        <w:tc>
          <w:tcPr>
            <w:tcW w:w="646" w:type="dxa"/>
            <w:vAlign w:val="center"/>
          </w:tcPr>
          <w:p w14:paraId="37B142A4">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2</w:t>
            </w:r>
          </w:p>
        </w:tc>
        <w:tc>
          <w:tcPr>
            <w:tcW w:w="6753" w:type="dxa"/>
            <w:vAlign w:val="top"/>
          </w:tcPr>
          <w:p w14:paraId="11F2FE02">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val="en-US" w:eastAsia="zh-CN"/>
              </w:rPr>
              <w:t>李传敬</w:t>
            </w:r>
            <w:r>
              <w:rPr>
                <w:rFonts w:hint="default" w:ascii="Times New Roman" w:hAnsi="Times New Roman" w:eastAsia="黑体" w:cs="Times New Roman"/>
                <w:sz w:val="21"/>
                <w:szCs w:val="21"/>
              </w:rPr>
              <w:t>，男，</w:t>
            </w:r>
            <w:r>
              <w:rPr>
                <w:rFonts w:hint="default" w:ascii="Times New Roman" w:hAnsi="Times New Roman" w:eastAsia="黑体" w:cs="Times New Roman"/>
                <w:sz w:val="21"/>
                <w:szCs w:val="21"/>
                <w:lang w:val="en-US" w:eastAsia="zh-CN"/>
              </w:rPr>
              <w:t>讲师</w:t>
            </w:r>
            <w:r>
              <w:rPr>
                <w:rFonts w:hint="default" w:ascii="Times New Roman" w:hAnsi="Times New Roman" w:eastAsia="黑体" w:cs="Times New Roman"/>
                <w:sz w:val="21"/>
                <w:szCs w:val="21"/>
              </w:rPr>
              <w:t>，</w:t>
            </w:r>
            <w:r>
              <w:rPr>
                <w:rFonts w:hint="default" w:ascii="Times New Roman" w:hAnsi="Times New Roman" w:eastAsia="黑体" w:cs="Times New Roman"/>
                <w:sz w:val="21"/>
                <w:szCs w:val="21"/>
                <w:lang w:val="en-US" w:eastAsia="zh-CN"/>
              </w:rPr>
              <w:t>无线电物理</w:t>
            </w:r>
            <w:r>
              <w:rPr>
                <w:rFonts w:hint="default" w:ascii="Times New Roman" w:hAnsi="Times New Roman" w:eastAsia="黑体" w:cs="Times New Roman"/>
                <w:sz w:val="21"/>
                <w:szCs w:val="21"/>
              </w:rPr>
              <w:t>硕士研究生。</w:t>
            </w:r>
          </w:p>
          <w:p w14:paraId="571C1C70">
            <w:pPr>
              <w:rPr>
                <w:rFonts w:hint="default" w:ascii="Times New Roman" w:hAnsi="Times New Roman" w:eastAsia="黑体" w:cs="Times New Roman"/>
                <w:sz w:val="21"/>
                <w:szCs w:val="21"/>
              </w:rPr>
            </w:pP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计算机网络技术</w:t>
            </w:r>
            <w:r>
              <w:rPr>
                <w:rFonts w:hint="default" w:ascii="Times New Roman" w:hAnsi="Times New Roman" w:eastAsia="黑体" w:cs="Times New Roman"/>
                <w:sz w:val="21"/>
                <w:szCs w:val="21"/>
                <w:lang w:eastAsia="zh-CN"/>
              </w:rPr>
              <w:t>》</w:t>
            </w:r>
            <w:r>
              <w:rPr>
                <w:rFonts w:hint="default" w:ascii="Times New Roman" w:hAnsi="Times New Roman" w:eastAsia="黑体" w:cs="Times New Roman"/>
                <w:sz w:val="21"/>
                <w:szCs w:val="21"/>
              </w:rPr>
              <w:t>通过讲解计算机网络的基础知识，介绍相应知识在网络组网、网络操作系统中的具体应用，使学生能够对网络的基本原理、网络协议有一个直观认识，并结合当前计算机网络技术的应用实例，采用理论与实践相结合的方法，使学生在了解计算机网络基本理论、基本知识的同时，掌握网络组网方法、网络操作系统的管理和维护等网络技能。</w:t>
            </w:r>
          </w:p>
        </w:tc>
      </w:tr>
      <w:tr w14:paraId="4927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vAlign w:val="center"/>
          </w:tcPr>
          <w:p w14:paraId="72D47A11">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选课说明</w:t>
            </w:r>
          </w:p>
        </w:tc>
        <w:tc>
          <w:tcPr>
            <w:tcW w:w="7399" w:type="dxa"/>
            <w:gridSpan w:val="2"/>
          </w:tcPr>
          <w:p w14:paraId="5C5BCF2B">
            <w:pPr>
              <w:tabs>
                <w:tab w:val="left" w:pos="1321"/>
              </w:tabs>
              <w:rPr>
                <w:rFonts w:hint="default" w:ascii="Times New Roman" w:hAnsi="Times New Roman" w:eastAsia="黑体" w:cs="Times New Roman"/>
                <w:sz w:val="21"/>
                <w:szCs w:val="21"/>
              </w:rPr>
            </w:pPr>
            <w:r>
              <w:rPr>
                <w:rFonts w:hint="default" w:ascii="Times New Roman" w:hAnsi="Times New Roman" w:eastAsia="黑体" w:cs="Times New Roman"/>
                <w:sz w:val="21"/>
                <w:szCs w:val="21"/>
                <w:lang w:eastAsia="zh-CN"/>
              </w:rPr>
              <w:t>三选一</w:t>
            </w:r>
          </w:p>
        </w:tc>
      </w:tr>
    </w:tbl>
    <w:p w14:paraId="21BD4431">
      <w:pPr>
        <w:rPr>
          <w:rFonts w:hint="default" w:ascii="Times New Roman" w:hAnsi="Times New Roman" w:cs="Times New Roman"/>
        </w:rPr>
      </w:pPr>
    </w:p>
    <w:p w14:paraId="4B663123">
      <w:pPr>
        <w:rPr>
          <w:rFonts w:hint="default" w:ascii="Times New Roman" w:hAnsi="Times New Roman" w:cs="Times New Roman"/>
        </w:rPr>
      </w:pPr>
    </w:p>
    <w:p w14:paraId="4CB0735C">
      <w:pPr>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课程组</w:t>
      </w:r>
      <w:r>
        <w:rPr>
          <w:rFonts w:hint="default" w:ascii="Times New Roman" w:hAnsi="Times New Roman" w:eastAsia="宋体" w:cs="Times New Roman"/>
          <w:sz w:val="24"/>
          <w:szCs w:val="32"/>
        </w:rPr>
        <w:t>2  应选学分</w:t>
      </w:r>
      <w:r>
        <w:rPr>
          <w:rFonts w:hint="default" w:ascii="Times New Roman" w:hAnsi="Times New Roman" w:eastAsia="宋体" w:cs="Times New Roman"/>
          <w:sz w:val="24"/>
          <w:szCs w:val="32"/>
        </w:rPr>
        <w:t>：（</w:t>
      </w:r>
      <w:r>
        <w:rPr>
          <w:rFonts w:hint="default" w:ascii="Times New Roman" w:hAnsi="Times New Roman" w:eastAsia="宋体" w:cs="Times New Roman"/>
          <w:sz w:val="24"/>
          <w:szCs w:val="32"/>
        </w:rPr>
        <w:t xml:space="preserve"> </w:t>
      </w:r>
      <w:r>
        <w:rPr>
          <w:rFonts w:hint="default" w:ascii="Times New Roman" w:hAnsi="Times New Roman" w:eastAsia="宋体" w:cs="Times New Roman"/>
          <w:sz w:val="24"/>
          <w:szCs w:val="32"/>
          <w:lang w:val="en-US" w:eastAsia="zh-CN"/>
        </w:rPr>
        <w:t>4</w:t>
      </w:r>
      <w:r>
        <w:rPr>
          <w:rFonts w:hint="default" w:ascii="Times New Roman" w:hAnsi="Times New Roman" w:eastAsia="宋体" w:cs="Times New Roman"/>
          <w:sz w:val="24"/>
          <w:szCs w:val="32"/>
        </w:rPr>
        <w:t xml:space="preserve"> ）分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99C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28466D7C">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课程（代码）</w:t>
            </w:r>
          </w:p>
        </w:tc>
        <w:tc>
          <w:tcPr>
            <w:tcW w:w="662" w:type="dxa"/>
            <w:vAlign w:val="center"/>
          </w:tcPr>
          <w:p w14:paraId="30E2F874">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学分</w:t>
            </w:r>
          </w:p>
        </w:tc>
        <w:tc>
          <w:tcPr>
            <w:tcW w:w="6922" w:type="dxa"/>
            <w:vAlign w:val="center"/>
          </w:tcPr>
          <w:p w14:paraId="0E623BC8">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课程简介</w:t>
            </w:r>
          </w:p>
        </w:tc>
      </w:tr>
      <w:tr w14:paraId="4ACA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424CC602">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数控车铣实训（高级）（0019086）</w:t>
            </w:r>
          </w:p>
        </w:tc>
        <w:tc>
          <w:tcPr>
            <w:tcW w:w="662" w:type="dxa"/>
            <w:vAlign w:val="center"/>
          </w:tcPr>
          <w:p w14:paraId="16551F6F">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4</w:t>
            </w:r>
          </w:p>
        </w:tc>
        <w:tc>
          <w:tcPr>
            <w:tcW w:w="6922" w:type="dxa"/>
          </w:tcPr>
          <w:p w14:paraId="51E1B9DE">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刘永峰，男，讲师，机械工程研究生</w:t>
            </w:r>
          </w:p>
          <w:p w14:paraId="5BA457D5">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本课程是机电一体化专业实践课，主要是对在校学生进行常见数控机床基本操作技能的化训练。通过进行数控编程, 仿真及实际机床操作过程，使学生能综合运用所学到的机械制造工艺、金属切削与刀具、机床夹具、数控加工工艺、 数控机床原理与结构、机床电器于PLC 以及液压等方面的知识，学习各种数控机床操作技能，掌握处理工艺技术问题，具备常见数控机床熟练操作的能力，并且具备解决数控机床加工过程中解决实际问题的能力。培养遵守操作规程、安全文明生产的良好惯，具有严细的工作作风和良好的职业道德。</w:t>
            </w:r>
          </w:p>
        </w:tc>
      </w:tr>
      <w:tr w14:paraId="4785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52B460AD">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工业机器人综合实训（0019089）</w:t>
            </w:r>
          </w:p>
        </w:tc>
        <w:tc>
          <w:tcPr>
            <w:tcW w:w="662" w:type="dxa"/>
            <w:vAlign w:val="center"/>
          </w:tcPr>
          <w:p w14:paraId="6CEDB0CD">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4</w:t>
            </w:r>
          </w:p>
        </w:tc>
        <w:tc>
          <w:tcPr>
            <w:tcW w:w="6922" w:type="dxa"/>
          </w:tcPr>
          <w:p w14:paraId="44EE3460">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周娟，女，讲师，机械工程研究生</w:t>
            </w:r>
          </w:p>
          <w:p w14:paraId="015C285C">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工业机器人综合实训是为了通过这个实践环节的训练，进一步提升对工业机器人系统进行编程和调试的能力，并提升学生对工业机器人应用系统，包括机器人本体，周边设备如PLC， HMI, 工业摄像头，外部轴等综合应用能力，使学生能够达到工业机器人系统操作员（三级）的操作能力。</w:t>
            </w:r>
          </w:p>
        </w:tc>
      </w:tr>
      <w:tr w14:paraId="5051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07564BA8">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选课说明</w:t>
            </w:r>
          </w:p>
        </w:tc>
        <w:tc>
          <w:tcPr>
            <w:tcW w:w="7584" w:type="dxa"/>
            <w:gridSpan w:val="2"/>
          </w:tcPr>
          <w:p w14:paraId="70CBAA52">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二选一。综合实践课程，分为智能制造（34名）和电子技术（21名）两方向。</w:t>
            </w:r>
          </w:p>
        </w:tc>
      </w:tr>
    </w:tbl>
    <w:p w14:paraId="4FC8A13C">
      <w:pPr>
        <w:rPr>
          <w:rFonts w:hint="default" w:ascii="Times New Roman" w:hAnsi="Times New Roman" w:cs="Times New Roman"/>
        </w:rPr>
      </w:pPr>
    </w:p>
    <w:p w14:paraId="4F3FDF38">
      <w:pPr>
        <w:rPr>
          <w:rFonts w:hint="default" w:ascii="Times New Roman" w:hAnsi="Times New Roman" w:cs="Times New Roman"/>
        </w:rPr>
      </w:pPr>
    </w:p>
    <w:p w14:paraId="51F52C5F">
      <w:pPr>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课程组</w:t>
      </w:r>
      <w:r>
        <w:rPr>
          <w:rFonts w:hint="default" w:ascii="Times New Roman" w:hAnsi="Times New Roman" w:eastAsia="宋体" w:cs="Times New Roman"/>
          <w:sz w:val="24"/>
          <w:szCs w:val="32"/>
          <w:lang w:val="en-US" w:eastAsia="zh-CN"/>
        </w:rPr>
        <w:t>3</w:t>
      </w:r>
      <w:r>
        <w:rPr>
          <w:rFonts w:hint="default" w:ascii="Times New Roman" w:hAnsi="Times New Roman" w:eastAsia="宋体" w:cs="Times New Roman"/>
          <w:sz w:val="24"/>
          <w:szCs w:val="32"/>
        </w:rPr>
        <w:t xml:space="preserve">  应选学分：（ </w:t>
      </w:r>
      <w:r>
        <w:rPr>
          <w:rFonts w:hint="eastAsia" w:ascii="Times New Roman" w:hAnsi="Times New Roman" w:eastAsia="宋体" w:cs="Times New Roman"/>
          <w:sz w:val="24"/>
          <w:szCs w:val="32"/>
          <w:lang w:val="en-US" w:eastAsia="zh-CN"/>
        </w:rPr>
        <w:t>3</w:t>
      </w:r>
      <w:r>
        <w:rPr>
          <w:rFonts w:hint="default" w:ascii="Times New Roman" w:hAnsi="Times New Roman" w:eastAsia="宋体" w:cs="Times New Roman"/>
          <w:sz w:val="24"/>
          <w:szCs w:val="32"/>
        </w:rPr>
        <w:t xml:space="preserve"> ）分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6E58C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4B9B966">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课程（代码）</w:t>
            </w:r>
          </w:p>
        </w:tc>
        <w:tc>
          <w:tcPr>
            <w:tcW w:w="662" w:type="dxa"/>
            <w:vAlign w:val="center"/>
          </w:tcPr>
          <w:p w14:paraId="6659B7DC">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学分</w:t>
            </w:r>
          </w:p>
        </w:tc>
        <w:tc>
          <w:tcPr>
            <w:tcW w:w="6922" w:type="dxa"/>
            <w:vAlign w:val="center"/>
          </w:tcPr>
          <w:p w14:paraId="1AD17A0E">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课程简介</w:t>
            </w:r>
          </w:p>
        </w:tc>
      </w:tr>
      <w:tr w14:paraId="67F2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4E10BA0A">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模具设计与制造</w:t>
            </w:r>
          </w:p>
          <w:p w14:paraId="2BB662B5">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（0080238）</w:t>
            </w:r>
          </w:p>
        </w:tc>
        <w:tc>
          <w:tcPr>
            <w:tcW w:w="662" w:type="dxa"/>
            <w:vAlign w:val="center"/>
          </w:tcPr>
          <w:p w14:paraId="54411AB1">
            <w:pPr>
              <w:jc w:val="cente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3</w:t>
            </w:r>
          </w:p>
        </w:tc>
        <w:tc>
          <w:tcPr>
            <w:tcW w:w="6922" w:type="dxa"/>
          </w:tcPr>
          <w:p w14:paraId="0CA20B2E">
            <w:pPr>
              <w:rPr>
                <w:rFonts w:hint="default" w:ascii="Times New Roman" w:hAnsi="Times New Roman" w:eastAsia="黑体" w:cs="Times New Roman"/>
                <w:sz w:val="21"/>
                <w:szCs w:val="21"/>
              </w:rPr>
            </w:pPr>
            <w:r>
              <w:rPr>
                <w:rFonts w:hint="eastAsia" w:ascii="Times New Roman" w:hAnsi="Times New Roman" w:eastAsia="黑体" w:cs="Times New Roman"/>
                <w:sz w:val="21"/>
                <w:szCs w:val="21"/>
                <w:lang w:val="en-US" w:eastAsia="zh-CN"/>
              </w:rPr>
              <w:t>王晓梅，女，副教授，博士研究生</w:t>
            </w:r>
            <w:r>
              <w:rPr>
                <w:rFonts w:hint="default" w:ascii="Times New Roman" w:hAnsi="Times New Roman" w:eastAsia="黑体" w:cs="Times New Roman"/>
                <w:sz w:val="21"/>
                <w:szCs w:val="21"/>
              </w:rPr>
              <w:br w:type="textWrapping"/>
            </w:r>
            <w:r>
              <w:rPr>
                <w:rFonts w:hint="default" w:ascii="Times New Roman" w:hAnsi="Times New Roman" w:eastAsia="黑体" w:cs="Times New Roman"/>
                <w:sz w:val="21"/>
                <w:szCs w:val="21"/>
              </w:rPr>
              <w:t>《模具设计与制造》是机电一体化专业的一门专业必修课，在学生了解常用模具种类及工作原理基础上，掌握冲压模具设计流程及基本方法，通过本课程的学习，使学生能够完成典型冲压模具的工艺分析及设计，初步掌握模具一般设计过程、标准模架的选用、设计手册和设计图册的使用等基本知识与技能，为今后进一步应用模具设计与制造知识进行机械产品设计开发打下基础。</w:t>
            </w:r>
          </w:p>
        </w:tc>
      </w:tr>
      <w:tr w14:paraId="3D0D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63436C87">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机电设备故障诊断与维修（0080253）</w:t>
            </w:r>
          </w:p>
        </w:tc>
        <w:tc>
          <w:tcPr>
            <w:tcW w:w="662" w:type="dxa"/>
            <w:vAlign w:val="center"/>
          </w:tcPr>
          <w:p w14:paraId="17811896">
            <w:pPr>
              <w:jc w:val="cente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3</w:t>
            </w:r>
          </w:p>
        </w:tc>
        <w:tc>
          <w:tcPr>
            <w:tcW w:w="6922" w:type="dxa"/>
          </w:tcPr>
          <w:p w14:paraId="3CA23285">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刘巍，男，讲师，机械工程博士研究生。</w:t>
            </w:r>
          </w:p>
          <w:p w14:paraId="68C7C886">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机电设备故障诊断与维修》课程是机电一体化专业中的关键技术课程。本课程旨在帮助学生在已经掌握机电设备运行控制原理和机电传动控制系统装置分析使用技能的基础上，进一步提升其专业能力。通过本课程的学习，学生将能够：故障诊断与分析：学会如何对机电设备的故障进行有效的诊断和深入分析。维修技能：掌握机电设备的维修技术，包括故障排除和修复方法。现场服务能力：获得必要的现场设备服务知识，能够在现场环境中进行有效的设备维护和维修。专业技能训练：通过实践操作，强化学生的专业技能，使其能够满足维修技师的职业要求。专业知识获取：学习必备的专业知识，为学生未来在机电设备领域的工作提供坚实的理论基础。综合应用能力：培养学生将理论知识与实际操作相结合的能力，提高解决实际问题的能力。通过本课程的学习，学生不仅能够增强对机电设备故障的诊断和维修能力，还能为将来在机电一体化领域的职业生涯做好充分准备。</w:t>
            </w:r>
          </w:p>
        </w:tc>
      </w:tr>
      <w:tr w14:paraId="1687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1C6B03DD">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选课说明</w:t>
            </w:r>
          </w:p>
        </w:tc>
        <w:tc>
          <w:tcPr>
            <w:tcW w:w="7584" w:type="dxa"/>
            <w:gridSpan w:val="2"/>
          </w:tcPr>
          <w:p w14:paraId="3E60A29E">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二选一。专业限选课，分为智能制造（34名）和电子技术（21名）两方向。</w:t>
            </w:r>
          </w:p>
        </w:tc>
      </w:tr>
    </w:tbl>
    <w:p w14:paraId="2BF2756D">
      <w:pPr>
        <w:rPr>
          <w:rFonts w:hint="default" w:ascii="Times New Roman" w:hAnsi="Times New Roman" w:cs="Times New Roman"/>
        </w:rPr>
      </w:pPr>
    </w:p>
    <w:p w14:paraId="4B59DC67">
      <w:pPr>
        <w:rPr>
          <w:rFonts w:hint="default" w:ascii="Times New Roman" w:hAnsi="Times New Roman" w:cs="Times New Roman"/>
        </w:rPr>
      </w:pPr>
      <w:bookmarkStart w:id="0" w:name="_GoBack"/>
      <w:bookmarkEnd w:id="0"/>
    </w:p>
    <w:p w14:paraId="284F49B3">
      <w:pPr>
        <w:rPr>
          <w:rFonts w:hint="default" w:ascii="Times New Roman" w:hAnsi="Times New Roman" w:eastAsia="宋体" w:cs="Times New Roman"/>
          <w:sz w:val="24"/>
          <w:szCs w:val="32"/>
        </w:rPr>
      </w:pPr>
      <w:r>
        <w:rPr>
          <w:rFonts w:hint="default" w:ascii="Times New Roman" w:hAnsi="Times New Roman" w:eastAsia="宋体" w:cs="Times New Roman"/>
          <w:sz w:val="24"/>
          <w:szCs w:val="32"/>
        </w:rPr>
        <w:t>课程组</w:t>
      </w:r>
      <w:r>
        <w:rPr>
          <w:rFonts w:hint="default" w:ascii="Times New Roman" w:hAnsi="Times New Roman" w:eastAsia="宋体" w:cs="Times New Roman"/>
          <w:sz w:val="24"/>
          <w:szCs w:val="32"/>
          <w:lang w:val="en-US" w:eastAsia="zh-CN"/>
        </w:rPr>
        <w:t>4</w:t>
      </w:r>
      <w:r>
        <w:rPr>
          <w:rFonts w:hint="default" w:ascii="Times New Roman" w:hAnsi="Times New Roman" w:eastAsia="宋体" w:cs="Times New Roman"/>
          <w:sz w:val="24"/>
          <w:szCs w:val="32"/>
        </w:rPr>
        <w:t xml:space="preserve">  应选学分：（ </w:t>
      </w:r>
      <w:r>
        <w:rPr>
          <w:rFonts w:hint="eastAsia" w:ascii="Times New Roman" w:hAnsi="Times New Roman" w:eastAsia="宋体" w:cs="Times New Roman"/>
          <w:sz w:val="24"/>
          <w:szCs w:val="32"/>
          <w:lang w:val="en-US" w:eastAsia="zh-CN"/>
        </w:rPr>
        <w:t>3</w:t>
      </w:r>
      <w:r>
        <w:rPr>
          <w:rFonts w:hint="default" w:ascii="Times New Roman" w:hAnsi="Times New Roman" w:eastAsia="宋体" w:cs="Times New Roman"/>
          <w:sz w:val="24"/>
          <w:szCs w:val="32"/>
        </w:rPr>
        <w:t xml:space="preserve"> ）分</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14:paraId="7E63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14:paraId="4017D45F">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课程（代码）</w:t>
            </w:r>
          </w:p>
        </w:tc>
        <w:tc>
          <w:tcPr>
            <w:tcW w:w="662" w:type="dxa"/>
            <w:vAlign w:val="center"/>
          </w:tcPr>
          <w:p w14:paraId="1B787120">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学分</w:t>
            </w:r>
          </w:p>
        </w:tc>
        <w:tc>
          <w:tcPr>
            <w:tcW w:w="6922" w:type="dxa"/>
            <w:vAlign w:val="center"/>
          </w:tcPr>
          <w:p w14:paraId="553C0AB2">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课程简介</w:t>
            </w:r>
          </w:p>
        </w:tc>
      </w:tr>
      <w:tr w14:paraId="4A74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14949ECD">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数控机床（0080147）</w:t>
            </w:r>
          </w:p>
        </w:tc>
        <w:tc>
          <w:tcPr>
            <w:tcW w:w="662" w:type="dxa"/>
            <w:vAlign w:val="center"/>
          </w:tcPr>
          <w:p w14:paraId="4DB959C6">
            <w:pPr>
              <w:jc w:val="center"/>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3</w:t>
            </w:r>
          </w:p>
        </w:tc>
        <w:tc>
          <w:tcPr>
            <w:tcW w:w="6922" w:type="dxa"/>
          </w:tcPr>
          <w:p w14:paraId="191AE397">
            <w:pPr>
              <w:rPr>
                <w:rFonts w:hint="default"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孟富森，男，高级工程师，数控机床研究生</w:t>
            </w:r>
          </w:p>
          <w:p w14:paraId="19D22C83">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本课程是机电一体化专业方向必修课，通过本课程的学习，可以使学生了解数控机床的组成原理，理解数控系统功能和插补原理，掌握机床数控系统与可编程控制器、变频器、伺服驱动装置、伺服电机之间的集成方法，与机械系统部件的安装调整，掌握数控机床的运行维护等基本知识和技能，为从事数控设备的操作运行和维护管理工作打下坚实基础。</w:t>
            </w:r>
          </w:p>
          <w:p w14:paraId="17B21BBF">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本课程的主要任务是使学生了解机床数控系统功能和主传动系统和伺服进给系统的控制要求；理解直线、圆弧插补和刀具补偿原理；掌握机床信号传递及硬件连接方法和主要部件的调整方法，学会正确使用数控机床，并具备一定的维护能力。</w:t>
            </w:r>
          </w:p>
        </w:tc>
      </w:tr>
      <w:tr w14:paraId="72D5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312178AC">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单片机应用技术</w:t>
            </w:r>
          </w:p>
          <w:p w14:paraId="35DB792A">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（0080276）</w:t>
            </w:r>
          </w:p>
        </w:tc>
        <w:tc>
          <w:tcPr>
            <w:tcW w:w="662" w:type="dxa"/>
            <w:vAlign w:val="center"/>
          </w:tcPr>
          <w:p w14:paraId="7025A84E">
            <w:pPr>
              <w:jc w:val="center"/>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3</w:t>
            </w:r>
          </w:p>
        </w:tc>
        <w:tc>
          <w:tcPr>
            <w:tcW w:w="6922" w:type="dxa"/>
          </w:tcPr>
          <w:p w14:paraId="484C33DC">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卢明阳，男，讲师，电工电子硕士研究生。</w:t>
            </w:r>
          </w:p>
          <w:p w14:paraId="3D348733">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单片机应用技术》课程是机电一体化专业的核心基础课程之一。本课程旨在通过系统学习，使学生能够：熟悉低压电器：了解并掌握常用的低压电器设备，为后续的电气系统设计和维护打下基础。掌握电气线路识读与绘制：学习如何识读和绘制机电设备的电气线路图，增强学生对电气系统的理解。理解电机控制原理：深入理解交直流电机控制的基本环节，以及典型机床线路的控制原理。安装调试电气控制线路：在理解控制原理的基础上，学生将学会如何安装和调试典型机电设备的电气控制线路。了解PLC结构与应用：对PLC的结构和原理有一个基本的框架性认识，特别是在数控机床等电气控制领域的应用。掌握PLC编程与调试：学习PLC的基本指令，并掌握编程和调试的方法，为实际应用打下坚实的基础。培养故障分析处理能力：培养学生对电气设备进行安装调试以及分析处理常见故障的能力。通过本课程的学习，学生将为进一步深入学习后续的专业课程和未来的职业生涯打下坚实的基础。</w:t>
            </w:r>
          </w:p>
        </w:tc>
      </w:tr>
      <w:tr w14:paraId="341A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14:paraId="5928964B">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选课说明</w:t>
            </w:r>
          </w:p>
        </w:tc>
        <w:tc>
          <w:tcPr>
            <w:tcW w:w="7584" w:type="dxa"/>
            <w:gridSpan w:val="2"/>
          </w:tcPr>
          <w:p w14:paraId="6D260CC6">
            <w:pPr>
              <w:rPr>
                <w:rFonts w:hint="default" w:ascii="Times New Roman" w:hAnsi="Times New Roman" w:eastAsia="黑体" w:cs="Times New Roman"/>
                <w:sz w:val="21"/>
                <w:szCs w:val="21"/>
              </w:rPr>
            </w:pPr>
          </w:p>
          <w:p w14:paraId="76A34A19">
            <w:pPr>
              <w:rPr>
                <w:rFonts w:hint="default" w:ascii="Times New Roman" w:hAnsi="Times New Roman" w:eastAsia="黑体" w:cs="Times New Roman"/>
                <w:sz w:val="21"/>
                <w:szCs w:val="21"/>
              </w:rPr>
            </w:pPr>
          </w:p>
          <w:p w14:paraId="1A925153">
            <w:pP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二选一。专业限选课，分为智能制造（34名）和电子技术（21名）两方向。</w:t>
            </w:r>
          </w:p>
        </w:tc>
      </w:tr>
    </w:tbl>
    <w:p w14:paraId="0CA125B1">
      <w:pPr>
        <w:rPr>
          <w:rFonts w:hint="default" w:ascii="Times New Roman" w:hAnsi="Times New Roman" w:cs="Times New Roman"/>
        </w:rPr>
      </w:pPr>
    </w:p>
    <w:p w14:paraId="6B8074ED">
      <w:pPr>
        <w:rPr>
          <w:rFonts w:hint="default" w:ascii="Times New Roman" w:hAnsi="Times New Roman" w:cs="Times New Roman"/>
        </w:rPr>
      </w:pPr>
    </w:p>
    <w:p w14:paraId="6DA72293">
      <w:pPr>
        <w:rPr>
          <w:rFonts w:hint="default" w:ascii="Times New Roman" w:hAnsi="Times New Roman" w:cs="Times New Roman"/>
        </w:rPr>
      </w:pPr>
    </w:p>
    <w:p w14:paraId="66AEB54B">
      <w:pPr>
        <w:rPr>
          <w:rFonts w:hint="default" w:ascii="Times New Roman" w:hAnsi="Times New Roman" w:cs="Times New Roman"/>
        </w:rPr>
      </w:pPr>
    </w:p>
    <w:p w14:paraId="04A1B59E">
      <w:pPr>
        <w:rPr>
          <w:rFonts w:hint="default" w:ascii="Times New Roman" w:hAnsi="Times New Roman" w:cs="Times New Roman"/>
        </w:rPr>
      </w:pPr>
    </w:p>
    <w:p w14:paraId="1DB3B378">
      <w:pPr>
        <w:rPr>
          <w:rFonts w:hint="default" w:ascii="Times New Roman" w:hAnsi="Times New Roman" w:cs="Times New Roman"/>
        </w:rPr>
      </w:pPr>
    </w:p>
    <w:p w14:paraId="23731C34">
      <w:pPr>
        <w:rPr>
          <w:rFonts w:hint="default" w:ascii="Times New Roman" w:hAnsi="Times New Roman" w:cs="Times New Roman"/>
        </w:rPr>
      </w:pPr>
    </w:p>
    <w:p w14:paraId="093CB1DB">
      <w:pPr>
        <w:rPr>
          <w:rFonts w:hint="default" w:ascii="Times New Roman" w:hAnsi="Times New Roman" w:cs="Times New Roman"/>
        </w:rPr>
      </w:pPr>
    </w:p>
    <w:p w14:paraId="40858665">
      <w:pPr>
        <w:rPr>
          <w:rFonts w:hint="default" w:ascii="Times New Roman" w:hAnsi="Times New Roman" w:cs="Times New Roman"/>
        </w:rPr>
      </w:pPr>
    </w:p>
    <w:p w14:paraId="1BD9A32F">
      <w:pPr>
        <w:rPr>
          <w:rFonts w:hint="default" w:ascii="Times New Roman" w:hAnsi="Times New Roman" w:cs="Times New Roman"/>
        </w:rPr>
      </w:pPr>
    </w:p>
    <w:p w14:paraId="77CF6901">
      <w:pPr>
        <w:rPr>
          <w:rFonts w:hint="default" w:ascii="Times New Roman" w:hAnsi="Times New Roman" w:cs="Times New Roman"/>
        </w:rPr>
      </w:pPr>
    </w:p>
    <w:p w14:paraId="324215E6">
      <w:pPr>
        <w:rPr>
          <w:rFonts w:hint="default" w:ascii="Times New Roman" w:hAnsi="Times New Roman" w:cs="Times New Roman"/>
        </w:rPr>
      </w:pPr>
    </w:p>
    <w:p w14:paraId="291A87F3">
      <w:pPr>
        <w:rPr>
          <w:rFonts w:hint="default" w:ascii="Times New Roman" w:hAnsi="Times New Roman" w:cs="Times New Roman"/>
        </w:rPr>
      </w:pPr>
    </w:p>
    <w:p w14:paraId="0B080C51">
      <w:pPr>
        <w:rPr>
          <w:rFonts w:hint="default" w:ascii="Times New Roman" w:hAnsi="Times New Roman" w:cs="Times New Roman"/>
        </w:rPr>
      </w:pPr>
    </w:p>
    <w:p w14:paraId="7E234D8A">
      <w:pPr>
        <w:rPr>
          <w:rFonts w:hint="default" w:ascii="Times New Roman" w:hAnsi="Times New Roman" w:cs="Times New Roman"/>
        </w:rPr>
      </w:pPr>
    </w:p>
    <w:p w14:paraId="6CBEA500">
      <w:pPr>
        <w:rPr>
          <w:rFonts w:hint="default" w:ascii="Times New Roman" w:hAnsi="Times New Roman" w:cs="Times New Roman"/>
        </w:rPr>
      </w:pPr>
    </w:p>
    <w:p w14:paraId="0110569C">
      <w:pPr>
        <w:rPr>
          <w:rFonts w:hint="default" w:ascii="Times New Roman" w:hAnsi="Times New Roman" w:cs="Times New Roman"/>
        </w:rPr>
      </w:pPr>
    </w:p>
    <w:p w14:paraId="0BAAA210">
      <w:pPr>
        <w:rPr>
          <w:rFonts w:hint="default" w:ascii="Times New Roman" w:hAnsi="Times New Roman" w:cs="Times New Roman"/>
        </w:rPr>
      </w:pPr>
    </w:p>
    <w:p w14:paraId="7128C0D4">
      <w:pPr>
        <w:rPr>
          <w:rFonts w:hint="default" w:ascii="Times New Roman" w:hAnsi="Times New Roman" w:cs="Times New Roman"/>
        </w:rPr>
      </w:pPr>
    </w:p>
    <w:p w14:paraId="2F49267A">
      <w:pPr>
        <w:rPr>
          <w:rFonts w:hint="default" w:ascii="Times New Roman" w:hAnsi="Times New Roman" w:cs="Times New Roman"/>
        </w:rPr>
      </w:pPr>
    </w:p>
    <w:p w14:paraId="3DC9A2C9">
      <w:pPr>
        <w:rPr>
          <w:rFonts w:hint="default" w:ascii="Times New Roman" w:hAnsi="Times New Roman" w:cs="Times New Roman"/>
        </w:rPr>
      </w:pPr>
    </w:p>
    <w:p w14:paraId="1C24AFB7">
      <w:pPr>
        <w:rPr>
          <w:rFonts w:hint="default" w:ascii="Times New Roman" w:hAnsi="Times New Roman" w:cs="Times New Roman"/>
        </w:rPr>
      </w:pPr>
    </w:p>
    <w:p w14:paraId="580CF261">
      <w:pPr>
        <w:rPr>
          <w:rFonts w:hint="default" w:ascii="Times New Roman" w:hAnsi="Times New Roman" w:cs="Times New Roman"/>
        </w:rPr>
      </w:pPr>
    </w:p>
    <w:p w14:paraId="320ACC2B">
      <w:pPr>
        <w:rPr>
          <w:rFonts w:hint="default" w:ascii="Times New Roman" w:hAnsi="Times New Roman" w:cs="Times New Roman"/>
        </w:rPr>
      </w:pPr>
    </w:p>
    <w:p w14:paraId="3F303BBE">
      <w:pPr>
        <w:pStyle w:val="11"/>
        <w:rPr>
          <w:rFonts w:hint="default" w:ascii="Times New Roman" w:hAnsi="Times New Roman" w:eastAsia="宋体" w:cs="Times New Roman"/>
        </w:rPr>
      </w:pPr>
      <w:r>
        <w:rPr>
          <w:rFonts w:hint="default" w:ascii="Times New Roman" w:hAnsi="Times New Roman" w:eastAsia="宋体" w:cs="Times New Roman"/>
        </w:rPr>
        <w:t>说明：</w:t>
      </w:r>
    </w:p>
    <w:p w14:paraId="2FE42214">
      <w:pPr>
        <w:pStyle w:val="11"/>
        <w:rPr>
          <w:rFonts w:hint="default" w:ascii="Times New Roman" w:hAnsi="Times New Roman" w:eastAsia="宋体" w:cs="Times New Roman"/>
        </w:rPr>
      </w:pPr>
      <w:r>
        <w:rPr>
          <w:rFonts w:hint="default" w:ascii="Times New Roman" w:hAnsi="Times New Roman" w:eastAsia="宋体" w:cs="Times New Roman"/>
        </w:rPr>
        <w:t>1</w:t>
      </w:r>
      <w:r>
        <w:rPr>
          <w:rFonts w:hint="default" w:ascii="Times New Roman" w:hAnsi="Times New Roman" w:eastAsia="宋体" w:cs="Times New Roman"/>
        </w:rPr>
        <w:t xml:space="preserve">. </w:t>
      </w:r>
      <w:r>
        <w:rPr>
          <w:rFonts w:hint="default" w:ascii="Times New Roman" w:hAnsi="Times New Roman" w:eastAsia="宋体" w:cs="Times New Roman"/>
        </w:rPr>
        <w:t>表格不足可以自行补充</w:t>
      </w:r>
    </w:p>
    <w:p w14:paraId="7BAEBFA0">
      <w:pPr>
        <w:pStyle w:val="11"/>
        <w:rPr>
          <w:rFonts w:hint="default" w:ascii="Times New Roman" w:hAnsi="Times New Roman" w:eastAsia="宋体" w:cs="Times New Roman"/>
        </w:rPr>
      </w:pPr>
      <w:r>
        <w:rPr>
          <w:rFonts w:hint="default" w:ascii="Times New Roman" w:hAnsi="Times New Roman" w:eastAsia="宋体" w:cs="Times New Roman"/>
        </w:rPr>
        <w:t>2</w:t>
      </w:r>
      <w:r>
        <w:rPr>
          <w:rFonts w:hint="default" w:ascii="Times New Roman" w:hAnsi="Times New Roman" w:eastAsia="宋体" w:cs="Times New Roman"/>
        </w:rPr>
        <w:t xml:space="preserve">. </w:t>
      </w:r>
      <w:r>
        <w:rPr>
          <w:rFonts w:hint="default" w:ascii="Times New Roman" w:hAnsi="Times New Roman" w:eastAsia="宋体" w:cs="Times New Roman"/>
        </w:rPr>
        <w:t>本表格在确认专业选修选课模式的阶段填写</w:t>
      </w:r>
    </w:p>
    <w:p w14:paraId="1338DE7E">
      <w:pPr>
        <w:pStyle w:val="11"/>
        <w:rPr>
          <w:rFonts w:hint="default" w:ascii="Times New Roman" w:hAnsi="Times New Roman" w:eastAsia="宋体" w:cs="Times New Roman"/>
        </w:rPr>
      </w:pPr>
      <w:r>
        <w:rPr>
          <w:rFonts w:hint="default" w:ascii="Times New Roman" w:hAnsi="Times New Roman" w:eastAsia="宋体" w:cs="Times New Roman"/>
        </w:rPr>
        <w:t>3.</w:t>
      </w:r>
      <w:r>
        <w:rPr>
          <w:rFonts w:hint="default" w:ascii="Times New Roman" w:hAnsi="Times New Roman" w:eastAsia="宋体" w:cs="Times New Roman"/>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02"/>
    <w:rsid w:val="0000406C"/>
    <w:rsid w:val="000053BD"/>
    <w:rsid w:val="000253C5"/>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812B9"/>
    <w:rsid w:val="00A96D0C"/>
    <w:rsid w:val="00AB046E"/>
    <w:rsid w:val="00AF1B95"/>
    <w:rsid w:val="00AF6601"/>
    <w:rsid w:val="00B021F1"/>
    <w:rsid w:val="00B151A4"/>
    <w:rsid w:val="00B35B6A"/>
    <w:rsid w:val="00B45F81"/>
    <w:rsid w:val="00B7295C"/>
    <w:rsid w:val="00BD25AC"/>
    <w:rsid w:val="00BF6ADF"/>
    <w:rsid w:val="00C04247"/>
    <w:rsid w:val="00CE1D67"/>
    <w:rsid w:val="00CE5AB6"/>
    <w:rsid w:val="00D102EB"/>
    <w:rsid w:val="00D17776"/>
    <w:rsid w:val="00D17E84"/>
    <w:rsid w:val="00D366A1"/>
    <w:rsid w:val="00D670B3"/>
    <w:rsid w:val="00DA1023"/>
    <w:rsid w:val="00DE22B3"/>
    <w:rsid w:val="00DF6F32"/>
    <w:rsid w:val="00E02480"/>
    <w:rsid w:val="00E45197"/>
    <w:rsid w:val="00E64B15"/>
    <w:rsid w:val="00F15EED"/>
    <w:rsid w:val="00F45671"/>
    <w:rsid w:val="00F86228"/>
    <w:rsid w:val="00FF3F9A"/>
    <w:rsid w:val="55011CCC"/>
    <w:rsid w:val="7261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unhideWhenUsed/>
    <w:qFormat/>
    <w:uiPriority w:val="99"/>
    <w:pPr>
      <w:tabs>
        <w:tab w:val="center" w:pos="4153"/>
        <w:tab w:val="right" w:pos="8306"/>
      </w:tabs>
      <w:snapToGrid w:val="0"/>
      <w:jc w:val="left"/>
    </w:pPr>
    <w:rPr>
      <w:sz w:val="18"/>
      <w:szCs w:val="18"/>
    </w:rPr>
  </w:style>
  <w:style w:type="paragraph" w:styleId="12">
    <w:name w:val="header"/>
    <w:basedOn w:val="1"/>
    <w:link w:val="4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sz w:val="24"/>
    </w:rPr>
  </w:style>
  <w:style w:type="paragraph" w:styleId="15">
    <w:name w:val="Title"/>
    <w:basedOn w:val="1"/>
    <w:next w:val="1"/>
    <w:link w:val="4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qFormat/>
    <w:uiPriority w:val="0"/>
    <w:pPr>
      <w:snapToGrid w:val="0"/>
      <w:jc w:val="center"/>
    </w:pPr>
    <w:rPr>
      <w:rFonts w:ascii="Arial" w:hAnsi="Arial" w:eastAsia="黑体" w:cs="Times New Roman"/>
      <w:bCs/>
      <w:color w:val="000000"/>
      <w:szCs w:val="20"/>
    </w:rPr>
  </w:style>
  <w:style w:type="paragraph" w:customStyle="1" w:styleId="27">
    <w:name w:val="一级标题"/>
    <w:basedOn w:val="1"/>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semiHidden/>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semiHidden/>
    <w:qFormat/>
    <w:uiPriority w:val="9"/>
    <w:rPr>
      <w:rFonts w:cstheme="majorBidi"/>
      <w:color w:val="104862" w:themeColor="accent1" w:themeShade="BF"/>
      <w:sz w:val="24"/>
    </w:rPr>
  </w:style>
  <w:style w:type="character" w:customStyle="1" w:styleId="36">
    <w:name w:val="标题 6 字符"/>
    <w:basedOn w:val="18"/>
    <w:link w:val="7"/>
    <w:semiHidden/>
    <w:qFormat/>
    <w:uiPriority w:val="9"/>
    <w:rPr>
      <w:rFonts w:cstheme="majorBidi"/>
      <w:b/>
      <w:bCs/>
      <w:color w:val="104862" w:themeColor="accent1" w:themeShade="BF"/>
    </w:rPr>
  </w:style>
  <w:style w:type="character" w:customStyle="1" w:styleId="3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Intense Emphasis"/>
    <w:basedOn w:val="18"/>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qFormat/>
    <w:uiPriority w:val="30"/>
    <w:rPr>
      <w:i/>
      <w:iCs/>
      <w:color w:val="104862" w:themeColor="accent1" w:themeShade="BF"/>
    </w:rPr>
  </w:style>
  <w:style w:type="character" w:customStyle="1" w:styleId="47">
    <w:name w:val="Intense Reference"/>
    <w:basedOn w:val="18"/>
    <w:qFormat/>
    <w:uiPriority w:val="32"/>
    <w:rPr>
      <w:b/>
      <w:bCs/>
      <w:smallCaps/>
      <w:color w:val="104862" w:themeColor="accent1" w:themeShade="BF"/>
      <w:spacing w:val="5"/>
    </w:rPr>
  </w:style>
  <w:style w:type="character" w:customStyle="1" w:styleId="48">
    <w:name w:val="页眉 字符"/>
    <w:basedOn w:val="18"/>
    <w:link w:val="12"/>
    <w:qFormat/>
    <w:uiPriority w:val="99"/>
    <w:rPr>
      <w:sz w:val="18"/>
      <w:szCs w:val="18"/>
    </w:rPr>
  </w:style>
  <w:style w:type="character" w:customStyle="1" w:styleId="49">
    <w:name w:val="页脚 字符"/>
    <w:basedOn w:val="18"/>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254</Words>
  <Characters>281</Characters>
  <Lines>2</Lines>
  <Paragraphs>1</Paragraphs>
  <TotalTime>12</TotalTime>
  <ScaleCrop>false</ScaleCrop>
  <LinksUpToDate>false</LinksUpToDate>
  <CharactersWithSpaces>313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2024-04-01T02:43:00Z</dcterms:created>
  <dc:creator>孙鹏</dc:creator>
  <cp:lastModifiedBy>王君</cp:lastModifiedBy>
  <dcterms:modified xsi:type="dcterms:W3CDTF">2025-11-12T06:39:59Z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eyJoZGlkIjoiZDAzMTI1M2VkM2EyODZjNjY0NTM2NDA2OGNkMDMyYjEiLCJ1c2VySWQiOiIyNDI1OTQ4MzEifQ==</vt:lpwstr>
  </property>
  <property fmtid="{D5CDD505-2E9C-101B-9397-08002B2CF9AE}" pid="3" name="KSOProductBuildVer">
    <vt:lpwstr>2052-12.1.0.23542</vt:lpwstr>
  </property>
  <property fmtid="{D5CDD505-2E9C-101B-9397-08002B2CF9AE}" pid="4" name="ICV">
    <vt:lpwstr>356B3CADF76E457CB0B3CD8A59AB05F8_13</vt:lpwstr>
  </property>
</Properties>
</file>