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0FA9F6">
      <w:pPr>
        <w:spacing w:after="78" w:afterLines="25"/>
        <w:jc w:val="center"/>
        <w:rPr>
          <w:rFonts w:ascii="Times New Roman" w:hAnsi="Times New Roman" w:eastAsia="黑体" w:cs="Times New Roman"/>
          <w:bCs/>
          <w:color w:val="000000"/>
          <w:sz w:val="32"/>
          <w:szCs w:val="32"/>
        </w:rPr>
      </w:pPr>
      <w:r>
        <w:rPr>
          <w:rFonts w:hint="eastAsia" w:ascii="Times New Roman" w:hAnsi="Times New Roman" w:eastAsia="黑体" w:cs="Times New Roman"/>
          <w:bCs/>
          <w:color w:val="000000"/>
          <w:sz w:val="32"/>
          <w:szCs w:val="32"/>
        </w:rPr>
        <w:t>上海建桥学院 专业选修课选课要求说明</w:t>
      </w:r>
    </w:p>
    <w:p w14:paraId="26925F2A">
      <w:pPr>
        <w:jc w:val="center"/>
        <w:rPr>
          <w:rFonts w:ascii="黑体" w:hAnsi="黑体" w:eastAsia="黑体"/>
          <w:sz w:val="24"/>
          <w:szCs w:val="32"/>
        </w:rPr>
      </w:pPr>
      <w:r>
        <w:rPr>
          <w:rFonts w:hint="eastAsia" w:ascii="黑体" w:hAnsi="黑体" w:eastAsia="黑体"/>
          <w:sz w:val="24"/>
          <w:szCs w:val="32"/>
          <w:u w:val="single"/>
        </w:rPr>
        <w:t>2</w:t>
      </w:r>
      <w:r>
        <w:rPr>
          <w:rFonts w:ascii="黑体" w:hAnsi="黑体" w:eastAsia="黑体"/>
          <w:sz w:val="24"/>
          <w:szCs w:val="32"/>
          <w:u w:val="single"/>
        </w:rPr>
        <w:t>02</w:t>
      </w:r>
      <w:r>
        <w:rPr>
          <w:rFonts w:hint="eastAsia" w:ascii="黑体" w:hAnsi="黑体" w:eastAsia="黑体"/>
          <w:sz w:val="24"/>
          <w:szCs w:val="32"/>
          <w:u w:val="single"/>
          <w:lang w:val="en-US" w:eastAsia="zh-CN"/>
        </w:rPr>
        <w:t>5</w:t>
      </w:r>
      <w:r>
        <w:rPr>
          <w:rFonts w:ascii="黑体" w:hAnsi="黑体" w:eastAsia="黑体"/>
          <w:sz w:val="24"/>
          <w:szCs w:val="32"/>
          <w:u w:val="single"/>
        </w:rPr>
        <w:t>-202</w:t>
      </w:r>
      <w:r>
        <w:rPr>
          <w:rFonts w:hint="eastAsia" w:ascii="黑体" w:hAnsi="黑体" w:eastAsia="黑体"/>
          <w:sz w:val="24"/>
          <w:szCs w:val="32"/>
          <w:u w:val="single"/>
          <w:lang w:val="en-US" w:eastAsia="zh-CN"/>
        </w:rPr>
        <w:t>6</w:t>
      </w:r>
      <w:r>
        <w:rPr>
          <w:rFonts w:hint="eastAsia" w:ascii="黑体" w:hAnsi="黑体" w:eastAsia="黑体"/>
          <w:sz w:val="24"/>
          <w:szCs w:val="32"/>
        </w:rPr>
        <w:t>学年第</w:t>
      </w:r>
      <w:r>
        <w:rPr>
          <w:rFonts w:hint="eastAsia" w:ascii="黑体" w:hAnsi="黑体" w:eastAsia="黑体"/>
          <w:sz w:val="24"/>
          <w:szCs w:val="32"/>
          <w:u w:val="single"/>
          <w:lang w:val="en-US" w:eastAsia="zh-CN"/>
        </w:rPr>
        <w:t>2</w:t>
      </w:r>
      <w:r>
        <w:rPr>
          <w:rFonts w:hint="eastAsia" w:ascii="黑体" w:hAnsi="黑体" w:eastAsia="黑体"/>
          <w:sz w:val="24"/>
          <w:szCs w:val="32"/>
        </w:rPr>
        <w:t>学期</w:t>
      </w:r>
      <w:r>
        <w:rPr>
          <w:rFonts w:ascii="黑体" w:hAnsi="黑体" w:eastAsia="黑体"/>
          <w:sz w:val="24"/>
          <w:szCs w:val="32"/>
        </w:rPr>
        <w:t xml:space="preserve"> </w:t>
      </w:r>
      <w:r>
        <w:rPr>
          <w:rFonts w:hint="eastAsia" w:ascii="黑体" w:hAnsi="黑体" w:eastAsia="黑体"/>
          <w:sz w:val="24"/>
          <w:szCs w:val="32"/>
          <w:u w:val="single"/>
        </w:rPr>
        <w:t xml:space="preserve"> 职业技术</w:t>
      </w:r>
      <w:r>
        <w:rPr>
          <w:rFonts w:ascii="黑体" w:hAnsi="黑体" w:eastAsia="黑体"/>
          <w:sz w:val="24"/>
          <w:szCs w:val="32"/>
          <w:u w:val="single"/>
        </w:rPr>
        <w:t xml:space="preserve"> </w:t>
      </w:r>
      <w:r>
        <w:rPr>
          <w:rFonts w:hint="eastAsia" w:ascii="黑体" w:hAnsi="黑体" w:eastAsia="黑体"/>
          <w:sz w:val="24"/>
          <w:szCs w:val="32"/>
        </w:rPr>
        <w:t>学院</w:t>
      </w:r>
      <w:r>
        <w:rPr>
          <w:rFonts w:ascii="黑体" w:hAnsi="黑体" w:eastAsia="黑体"/>
          <w:sz w:val="24"/>
          <w:szCs w:val="32"/>
        </w:rPr>
        <w:t xml:space="preserve"> </w:t>
      </w:r>
      <w:r>
        <w:rPr>
          <w:rFonts w:hint="eastAsia" w:ascii="黑体" w:hAnsi="黑体" w:eastAsia="黑体"/>
          <w:sz w:val="24"/>
          <w:szCs w:val="32"/>
          <w:u w:val="single"/>
        </w:rPr>
        <w:t xml:space="preserve"> </w:t>
      </w:r>
      <w:r>
        <w:rPr>
          <w:rFonts w:ascii="黑体" w:hAnsi="黑体" w:eastAsia="黑体"/>
          <w:sz w:val="24"/>
          <w:szCs w:val="32"/>
          <w:u w:val="single"/>
        </w:rPr>
        <w:t xml:space="preserve"> </w:t>
      </w:r>
      <w:r>
        <w:rPr>
          <w:rFonts w:hint="eastAsia" w:ascii="黑体" w:hAnsi="黑体" w:eastAsia="黑体"/>
          <w:sz w:val="24"/>
          <w:szCs w:val="32"/>
          <w:u w:val="single"/>
          <w:lang w:val="en-US" w:eastAsia="zh-CN"/>
        </w:rPr>
        <w:t>旅游管理</w:t>
      </w:r>
      <w:r>
        <w:rPr>
          <w:rFonts w:ascii="黑体" w:hAnsi="黑体" w:eastAsia="黑体"/>
          <w:sz w:val="24"/>
          <w:szCs w:val="32"/>
          <w:u w:val="single"/>
        </w:rPr>
        <w:t xml:space="preserve">  </w:t>
      </w:r>
      <w:r>
        <w:rPr>
          <w:rFonts w:hint="eastAsia" w:ascii="黑体" w:hAnsi="黑体" w:eastAsia="黑体"/>
          <w:sz w:val="24"/>
          <w:szCs w:val="32"/>
        </w:rPr>
        <w:t>专业</w:t>
      </w:r>
    </w:p>
    <w:p w14:paraId="00B8F90F"/>
    <w:p w14:paraId="76F3AD7D">
      <w:pPr>
        <w:rPr>
          <w:rFonts w:ascii="宋体" w:hAnsi="宋体" w:eastAsia="宋体"/>
          <w:sz w:val="24"/>
          <w:szCs w:val="32"/>
        </w:rPr>
      </w:pPr>
      <w:r>
        <w:rPr>
          <w:rFonts w:hint="eastAsia" w:ascii="宋体" w:hAnsi="宋体" w:eastAsia="宋体"/>
          <w:sz w:val="24"/>
          <w:szCs w:val="32"/>
        </w:rPr>
        <w:t>课程组1</w:t>
      </w:r>
      <w:r>
        <w:rPr>
          <w:rFonts w:ascii="宋体" w:hAnsi="宋体" w:eastAsia="宋体"/>
          <w:sz w:val="24"/>
          <w:szCs w:val="32"/>
        </w:rPr>
        <w:t xml:space="preserve">  应选学分</w:t>
      </w:r>
      <w:r>
        <w:rPr>
          <w:rFonts w:hint="eastAsia" w:ascii="宋体" w:hAnsi="宋体" w:eastAsia="宋体"/>
          <w:sz w:val="24"/>
          <w:szCs w:val="32"/>
        </w:rPr>
        <w:t>：（</w:t>
      </w:r>
      <w:r>
        <w:rPr>
          <w:rFonts w:ascii="Times New Roman" w:hAnsi="Times New Roman" w:eastAsia="宋体" w:cs="Times New Roman"/>
          <w:sz w:val="24"/>
          <w:szCs w:val="32"/>
        </w:rPr>
        <w:t xml:space="preserve"> </w:t>
      </w:r>
      <w:r>
        <w:rPr>
          <w:rFonts w:hint="eastAsia" w:ascii="Times New Roman" w:hAnsi="Times New Roman" w:eastAsia="宋体" w:cs="Times New Roman"/>
          <w:sz w:val="24"/>
          <w:szCs w:val="32"/>
          <w:lang w:val="en-US" w:eastAsia="zh-CN"/>
        </w:rPr>
        <w:t>2</w:t>
      </w:r>
      <w:r>
        <w:rPr>
          <w:rFonts w:ascii="Times New Roman" w:hAnsi="Times New Roman" w:eastAsia="宋体" w:cs="Times New Roman"/>
          <w:sz w:val="24"/>
          <w:szCs w:val="32"/>
        </w:rPr>
        <w:t xml:space="preserve"> </w:t>
      </w:r>
      <w:r>
        <w:rPr>
          <w:rFonts w:hint="eastAsia" w:ascii="宋体" w:hAnsi="宋体" w:eastAsia="宋体"/>
          <w:sz w:val="24"/>
          <w:szCs w:val="32"/>
        </w:rPr>
        <w:t>）分</w:t>
      </w:r>
    </w:p>
    <w:tbl>
      <w:tblPr>
        <w:tblStyle w:val="1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58"/>
        <w:gridCol w:w="662"/>
        <w:gridCol w:w="6922"/>
      </w:tblGrid>
      <w:tr w14:paraId="63D72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658" w:type="dxa"/>
            <w:vAlign w:val="center"/>
          </w:tcPr>
          <w:p w14:paraId="400B76CF">
            <w:pPr>
              <w:jc w:val="center"/>
              <w:rPr>
                <w:rFonts w:ascii="黑体" w:hAnsi="黑体" w:eastAsia="黑体"/>
                <w:szCs w:val="21"/>
              </w:rPr>
            </w:pPr>
            <w:r>
              <w:rPr>
                <w:rFonts w:hint="eastAsia" w:ascii="黑体" w:hAnsi="黑体" w:eastAsia="黑体"/>
                <w:szCs w:val="21"/>
              </w:rPr>
              <w:t>课程（代码）</w:t>
            </w:r>
          </w:p>
        </w:tc>
        <w:tc>
          <w:tcPr>
            <w:tcW w:w="662" w:type="dxa"/>
            <w:vAlign w:val="center"/>
          </w:tcPr>
          <w:p w14:paraId="12D9C1B0">
            <w:pPr>
              <w:jc w:val="center"/>
              <w:rPr>
                <w:rFonts w:ascii="黑体" w:hAnsi="黑体" w:eastAsia="黑体"/>
                <w:szCs w:val="21"/>
              </w:rPr>
            </w:pPr>
            <w:r>
              <w:rPr>
                <w:rFonts w:hint="eastAsia" w:ascii="黑体" w:hAnsi="黑体" w:eastAsia="黑体"/>
                <w:szCs w:val="21"/>
              </w:rPr>
              <w:t>学分</w:t>
            </w:r>
          </w:p>
        </w:tc>
        <w:tc>
          <w:tcPr>
            <w:tcW w:w="6922" w:type="dxa"/>
            <w:vAlign w:val="center"/>
          </w:tcPr>
          <w:p w14:paraId="46E83249">
            <w:pPr>
              <w:jc w:val="center"/>
              <w:rPr>
                <w:rFonts w:ascii="黑体" w:hAnsi="黑体" w:eastAsia="黑体"/>
                <w:szCs w:val="21"/>
              </w:rPr>
            </w:pPr>
            <w:r>
              <w:rPr>
                <w:rFonts w:hint="eastAsia" w:ascii="黑体" w:hAnsi="黑体" w:eastAsia="黑体"/>
                <w:szCs w:val="21"/>
              </w:rPr>
              <w:t>课程简介</w:t>
            </w:r>
          </w:p>
        </w:tc>
      </w:tr>
      <w:tr w14:paraId="5574BF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58" w:type="dxa"/>
            <w:vAlign w:val="center"/>
          </w:tcPr>
          <w:p w14:paraId="3F71BD2B">
            <w:pPr>
              <w:jc w:val="center"/>
              <w:rPr>
                <w:rFonts w:hint="default" w:ascii="Arial" w:hAnsi="Arial" w:eastAsia="黑体" w:cs="Arial"/>
                <w:szCs w:val="21"/>
                <w:lang w:val="en-US" w:eastAsia="zh-CN"/>
              </w:rPr>
            </w:pPr>
            <w:r>
              <w:rPr>
                <w:rFonts w:ascii="Arial" w:hAnsi="Arial" w:eastAsia="黑体" w:cs="Arial"/>
                <w:szCs w:val="21"/>
              </w:rPr>
              <w:t>课程</w:t>
            </w:r>
            <w:r>
              <w:rPr>
                <w:rFonts w:hint="eastAsia" w:ascii="Arial" w:hAnsi="Arial" w:eastAsia="黑体" w:cs="Arial"/>
                <w:szCs w:val="21"/>
              </w:rPr>
              <w:t>A：</w:t>
            </w:r>
            <w:r>
              <w:rPr>
                <w:rFonts w:hint="eastAsia" w:ascii="Arial" w:hAnsi="Arial" w:eastAsia="黑体" w:cs="Arial"/>
                <w:szCs w:val="21"/>
                <w:lang w:val="en-US" w:eastAsia="zh-CN"/>
              </w:rPr>
              <w:t>商务日语初级</w:t>
            </w:r>
          </w:p>
          <w:p w14:paraId="505AD2BD">
            <w:pPr>
              <w:jc w:val="center"/>
              <w:rPr>
                <w:rFonts w:ascii="Arial" w:hAnsi="Arial" w:eastAsia="黑体" w:cs="Arial"/>
                <w:szCs w:val="21"/>
              </w:rPr>
            </w:pPr>
            <w:r>
              <w:rPr>
                <w:rFonts w:ascii="Arial" w:hAnsi="Arial" w:eastAsia="黑体" w:cs="Arial"/>
                <w:szCs w:val="21"/>
              </w:rPr>
              <w:t>（</w:t>
            </w:r>
            <w:r>
              <w:rPr>
                <w:rFonts w:hint="eastAsia" w:ascii="Arial" w:hAnsi="Arial" w:eastAsia="黑体" w:cs="Arial"/>
                <w:szCs w:val="21"/>
              </w:rPr>
              <w:t>0010</w:t>
            </w:r>
            <w:r>
              <w:rPr>
                <w:rFonts w:hint="eastAsia" w:ascii="Arial" w:hAnsi="Arial" w:eastAsia="黑体" w:cs="Arial"/>
                <w:szCs w:val="21"/>
                <w:lang w:val="en-US" w:eastAsia="zh-CN"/>
              </w:rPr>
              <w:t>102</w:t>
            </w:r>
            <w:r>
              <w:rPr>
                <w:rFonts w:ascii="Arial" w:hAnsi="Arial" w:eastAsia="黑体" w:cs="Arial"/>
                <w:szCs w:val="21"/>
              </w:rPr>
              <w:t>）</w:t>
            </w:r>
          </w:p>
        </w:tc>
        <w:tc>
          <w:tcPr>
            <w:tcW w:w="662" w:type="dxa"/>
            <w:vAlign w:val="center"/>
          </w:tcPr>
          <w:p w14:paraId="47538376">
            <w:pPr>
              <w:jc w:val="center"/>
              <w:rPr>
                <w:rFonts w:ascii="Arial" w:hAnsi="Arial" w:eastAsia="黑体" w:cs="Arial"/>
                <w:szCs w:val="21"/>
              </w:rPr>
            </w:pPr>
            <w:r>
              <w:rPr>
                <w:rFonts w:hint="eastAsia" w:ascii="Arial" w:hAnsi="Arial" w:eastAsia="黑体" w:cs="Arial"/>
                <w:szCs w:val="21"/>
              </w:rPr>
              <w:t>2</w:t>
            </w:r>
          </w:p>
        </w:tc>
        <w:tc>
          <w:tcPr>
            <w:tcW w:w="6922" w:type="dxa"/>
          </w:tcPr>
          <w:p w14:paraId="2042E4C0">
            <w:pPr>
              <w:ind w:firstLine="360" w:firstLineChars="200"/>
              <w:rPr>
                <w:rFonts w:ascii="宋体" w:hAnsi="宋体" w:eastAsia="宋体"/>
                <w:sz w:val="18"/>
                <w:szCs w:val="18"/>
              </w:rPr>
            </w:pPr>
            <w:r>
              <w:rPr>
                <w:rFonts w:hint="eastAsia" w:ascii="宋体" w:hAnsi="宋体" w:eastAsia="宋体"/>
                <w:sz w:val="18"/>
                <w:szCs w:val="18"/>
              </w:rPr>
              <w:t>秦嘉，商务日语专业兼职讲师，研究生学历，毕业于华东师范大学，日本五年工作经验。日语能力测试（NJLPT）1级180分满分，J-test特A级975分（满分1000分），擅长日语入门，日语考级辅导。</w:t>
            </w:r>
          </w:p>
          <w:p w14:paraId="19224A25">
            <w:pPr>
              <w:ind w:firstLine="360" w:firstLineChars="200"/>
              <w:rPr>
                <w:rFonts w:ascii="宋体" w:hAnsi="宋体" w:eastAsia="宋体"/>
                <w:sz w:val="18"/>
                <w:szCs w:val="18"/>
              </w:rPr>
            </w:pPr>
            <w:r>
              <w:rPr>
                <w:rFonts w:hint="eastAsia" w:ascii="宋体" w:hAnsi="宋体" w:eastAsia="宋体"/>
                <w:sz w:val="18"/>
                <w:szCs w:val="18"/>
              </w:rPr>
              <w:t>《商务日语初级》课程是面向旅游管理专业一年级学生开设的一门专业选修课，为学生拓展国际化视野提供选择。本课程面对零起点学生，学习五十音图（日语平假名、片假名），日语的发音规则及初级的日语入门知识。完成本门课程后，可以掌握假名读写，寒暄用语，自我介绍，简单的听说，为进一步学习日语提供基础知识。学习此门课程需要花费大量时间背诵，包括假名的读法和写法、单词、语法等，适合对日本文化、日语感兴趣，愿意背诵的同学们。</w:t>
            </w:r>
          </w:p>
        </w:tc>
      </w:tr>
      <w:tr w14:paraId="4D11FF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58" w:type="dxa"/>
            <w:vAlign w:val="center"/>
          </w:tcPr>
          <w:p w14:paraId="7AD71808">
            <w:pPr>
              <w:jc w:val="center"/>
              <w:rPr>
                <w:rFonts w:ascii="Arial" w:hAnsi="Arial" w:eastAsia="黑体" w:cs="Arial"/>
                <w:szCs w:val="21"/>
              </w:rPr>
            </w:pPr>
            <w:r>
              <w:rPr>
                <w:rFonts w:ascii="Arial" w:hAnsi="Arial" w:eastAsia="黑体" w:cs="Arial"/>
                <w:szCs w:val="21"/>
              </w:rPr>
              <w:t>课程B</w:t>
            </w:r>
            <w:r>
              <w:rPr>
                <w:rFonts w:hint="eastAsia" w:ascii="Arial" w:hAnsi="Arial" w:eastAsia="黑体" w:cs="Arial"/>
                <w:szCs w:val="21"/>
              </w:rPr>
              <w:t>：</w:t>
            </w:r>
            <w:r>
              <w:rPr>
                <w:rFonts w:hint="eastAsia" w:ascii="Arial" w:hAnsi="Arial" w:eastAsia="黑体" w:cs="Arial"/>
                <w:szCs w:val="21"/>
                <w:lang w:val="en-US" w:eastAsia="zh-CN"/>
              </w:rPr>
              <w:t>舞蹈欣赏</w:t>
            </w:r>
            <w:r>
              <w:rPr>
                <w:rFonts w:hint="eastAsia" w:ascii="Arial" w:hAnsi="Arial" w:eastAsia="黑体" w:cs="Arial"/>
                <w:szCs w:val="21"/>
              </w:rPr>
              <w:t>（0010</w:t>
            </w:r>
            <w:r>
              <w:rPr>
                <w:rFonts w:hint="eastAsia" w:ascii="Arial" w:hAnsi="Arial" w:eastAsia="黑体" w:cs="Arial"/>
                <w:szCs w:val="21"/>
                <w:lang w:val="en-US" w:eastAsia="zh-CN"/>
              </w:rPr>
              <w:t>118</w:t>
            </w:r>
            <w:r>
              <w:rPr>
                <w:rFonts w:hint="eastAsia" w:ascii="Arial" w:hAnsi="Arial" w:eastAsia="黑体" w:cs="Arial"/>
                <w:szCs w:val="21"/>
              </w:rPr>
              <w:t>）</w:t>
            </w:r>
          </w:p>
        </w:tc>
        <w:tc>
          <w:tcPr>
            <w:tcW w:w="662" w:type="dxa"/>
            <w:vAlign w:val="center"/>
          </w:tcPr>
          <w:p w14:paraId="28C1E052">
            <w:pPr>
              <w:jc w:val="center"/>
              <w:rPr>
                <w:rFonts w:ascii="Arial" w:hAnsi="Arial" w:eastAsia="黑体" w:cs="Arial"/>
                <w:szCs w:val="21"/>
              </w:rPr>
            </w:pPr>
            <w:r>
              <w:rPr>
                <w:rFonts w:hint="eastAsia" w:ascii="Arial" w:hAnsi="Arial" w:eastAsia="黑体" w:cs="Arial"/>
                <w:szCs w:val="21"/>
              </w:rPr>
              <w:t>2</w:t>
            </w:r>
          </w:p>
        </w:tc>
        <w:tc>
          <w:tcPr>
            <w:tcW w:w="6922" w:type="dxa"/>
          </w:tcPr>
          <w:p w14:paraId="62088665">
            <w:pPr>
              <w:ind w:firstLine="360" w:firstLineChars="200"/>
              <w:rPr>
                <w:rFonts w:hint="eastAsia" w:ascii="宋体" w:hAnsi="宋体" w:eastAsia="宋体"/>
                <w:sz w:val="18"/>
                <w:szCs w:val="18"/>
              </w:rPr>
            </w:pPr>
            <w:r>
              <w:rPr>
                <w:rFonts w:hint="eastAsia" w:ascii="宋体" w:hAnsi="宋体" w:eastAsia="宋体"/>
                <w:sz w:val="18"/>
                <w:szCs w:val="18"/>
              </w:rPr>
              <w:t>徐仁芳，空乘专业专职讲师，研究生学历，毕业于上海体育大学。北舞教师资格证，国家二级体育舞蹈教师及裁判，国际仪态师，空中瑜伽教练，健康管理师。曾获得上海市说课比赛二奖等。</w:t>
            </w:r>
          </w:p>
          <w:p w14:paraId="13D5B12C">
            <w:pPr>
              <w:ind w:firstLine="360" w:firstLineChars="200"/>
              <w:rPr>
                <w:rFonts w:hint="eastAsia" w:ascii="宋体" w:hAnsi="宋体" w:eastAsia="宋体"/>
                <w:sz w:val="18"/>
                <w:szCs w:val="18"/>
              </w:rPr>
            </w:pPr>
            <w:r>
              <w:rPr>
                <w:rFonts w:hint="eastAsia" w:ascii="宋体" w:hAnsi="宋体" w:eastAsia="宋体"/>
                <w:sz w:val="18"/>
                <w:szCs w:val="18"/>
              </w:rPr>
              <w:t>《舞蹈欣赏》课程是一门深入了解舞蹈艺术的课程。这门课程会探索从不同的文化背景下的舞蹈形式。从古典芭蕾，从民族舞到社交舞蹈让我们对舞蹈有更全面的认识。且通过分析舞蹈作品的结构，节奏，表现力培养我们对舞蹈艺术的认知力和鉴赏力。除了理论的学习我们还会安排实践的体验来感受舞蹈的魅力。本门课程无论是初学者还是有一定的舞蹈基础都能从这里找到自己的舞台，让我们在舞蹈的世界里发现美，感受美，创造美。</w:t>
            </w:r>
          </w:p>
        </w:tc>
      </w:tr>
    </w:tbl>
    <w:p w14:paraId="32552FC4">
      <w:r>
        <w:rPr>
          <w:rFonts w:hint="eastAsia" w:ascii="宋体" w:hAnsi="宋体" w:eastAsia="宋体"/>
          <w:sz w:val="24"/>
          <w:szCs w:val="32"/>
        </w:rPr>
        <w:t>课程组</w:t>
      </w:r>
      <w:r>
        <w:rPr>
          <w:rFonts w:hint="eastAsia" w:ascii="宋体" w:hAnsi="宋体" w:eastAsia="宋体"/>
          <w:sz w:val="24"/>
          <w:szCs w:val="32"/>
          <w:lang w:val="en-US" w:eastAsia="zh-CN"/>
        </w:rPr>
        <w:t>2</w:t>
      </w:r>
      <w:r>
        <w:rPr>
          <w:rFonts w:ascii="宋体" w:hAnsi="宋体" w:eastAsia="宋体"/>
          <w:sz w:val="24"/>
          <w:szCs w:val="32"/>
        </w:rPr>
        <w:t xml:space="preserve">  应选学分</w:t>
      </w:r>
      <w:r>
        <w:rPr>
          <w:rFonts w:hint="eastAsia" w:ascii="宋体" w:hAnsi="宋体" w:eastAsia="宋体"/>
          <w:sz w:val="24"/>
          <w:szCs w:val="32"/>
        </w:rPr>
        <w:t>：（</w:t>
      </w:r>
      <w:r>
        <w:rPr>
          <w:rFonts w:ascii="Times New Roman" w:hAnsi="Times New Roman" w:eastAsia="宋体" w:cs="Times New Roman"/>
          <w:sz w:val="24"/>
          <w:szCs w:val="32"/>
        </w:rPr>
        <w:t xml:space="preserve"> </w:t>
      </w:r>
      <w:r>
        <w:rPr>
          <w:rFonts w:hint="eastAsia" w:ascii="Times New Roman" w:hAnsi="Times New Roman" w:eastAsia="宋体" w:cs="Times New Roman"/>
          <w:sz w:val="24"/>
          <w:szCs w:val="32"/>
          <w:lang w:val="en-US" w:eastAsia="zh-CN"/>
        </w:rPr>
        <w:t>2</w:t>
      </w:r>
      <w:r>
        <w:rPr>
          <w:rFonts w:ascii="Times New Roman" w:hAnsi="Times New Roman" w:eastAsia="宋体" w:cs="Times New Roman"/>
          <w:sz w:val="24"/>
          <w:szCs w:val="32"/>
        </w:rPr>
        <w:t xml:space="preserve"> </w:t>
      </w:r>
      <w:r>
        <w:rPr>
          <w:rFonts w:hint="eastAsia" w:ascii="宋体" w:hAnsi="宋体" w:eastAsia="宋体"/>
          <w:sz w:val="24"/>
          <w:szCs w:val="32"/>
        </w:rPr>
        <w:t>）分</w:t>
      </w:r>
    </w:p>
    <w:tbl>
      <w:tblPr>
        <w:tblStyle w:val="1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58"/>
        <w:gridCol w:w="662"/>
        <w:gridCol w:w="6922"/>
      </w:tblGrid>
      <w:tr w14:paraId="0217A3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58" w:type="dxa"/>
            <w:vAlign w:val="center"/>
          </w:tcPr>
          <w:p w14:paraId="67B8F5F3">
            <w:pPr>
              <w:jc w:val="center"/>
              <w:rPr>
                <w:rFonts w:ascii="Arial" w:hAnsi="Arial" w:eastAsia="黑体" w:cs="Arial"/>
                <w:szCs w:val="21"/>
              </w:rPr>
            </w:pPr>
            <w:r>
              <w:rPr>
                <w:rFonts w:ascii="Arial" w:hAnsi="Arial" w:eastAsia="黑体" w:cs="Arial"/>
                <w:szCs w:val="21"/>
              </w:rPr>
              <w:t>课程</w:t>
            </w:r>
            <w:r>
              <w:rPr>
                <w:rFonts w:hint="eastAsia" w:ascii="Arial" w:hAnsi="Arial" w:eastAsia="黑体" w:cs="Arial"/>
                <w:sz w:val="24"/>
                <w:szCs w:val="24"/>
                <w:lang w:val="en-US" w:eastAsia="zh-CN"/>
              </w:rPr>
              <w:t>A</w:t>
            </w:r>
            <w:r>
              <w:rPr>
                <w:rFonts w:hint="eastAsia" w:ascii="Arial" w:hAnsi="Arial" w:eastAsia="黑体" w:cs="Arial"/>
                <w:szCs w:val="21"/>
              </w:rPr>
              <w:t>：</w:t>
            </w:r>
            <w:r>
              <w:rPr>
                <w:rFonts w:hint="eastAsia" w:ascii="Arial" w:hAnsi="Arial" w:eastAsia="黑体" w:cs="Arial"/>
                <w:szCs w:val="21"/>
                <w:lang w:val="en-US" w:eastAsia="zh-CN"/>
              </w:rPr>
              <w:t>商务韩语初级</w:t>
            </w:r>
            <w:r>
              <w:rPr>
                <w:rFonts w:hint="eastAsia" w:ascii="Arial" w:hAnsi="Arial" w:eastAsia="黑体" w:cs="Arial"/>
                <w:szCs w:val="21"/>
              </w:rPr>
              <w:t>（0010</w:t>
            </w:r>
            <w:r>
              <w:rPr>
                <w:rFonts w:hint="eastAsia" w:ascii="Arial" w:hAnsi="Arial" w:eastAsia="黑体" w:cs="Arial"/>
                <w:szCs w:val="21"/>
                <w:lang w:val="en-US" w:eastAsia="zh-CN"/>
              </w:rPr>
              <w:t>235</w:t>
            </w:r>
            <w:r>
              <w:rPr>
                <w:rFonts w:hint="eastAsia" w:ascii="Arial" w:hAnsi="Arial" w:eastAsia="黑体" w:cs="Arial"/>
                <w:szCs w:val="21"/>
              </w:rPr>
              <w:t>）</w:t>
            </w:r>
          </w:p>
        </w:tc>
        <w:tc>
          <w:tcPr>
            <w:tcW w:w="662" w:type="dxa"/>
            <w:vAlign w:val="center"/>
          </w:tcPr>
          <w:p w14:paraId="02ECBD3B">
            <w:pPr>
              <w:jc w:val="center"/>
              <w:rPr>
                <w:rFonts w:hint="eastAsia" w:ascii="Arial" w:hAnsi="Arial" w:eastAsia="黑体" w:cs="Arial"/>
                <w:szCs w:val="21"/>
                <w:lang w:eastAsia="zh-CN"/>
              </w:rPr>
            </w:pPr>
            <w:r>
              <w:rPr>
                <w:rFonts w:hint="eastAsia" w:ascii="Arial" w:hAnsi="Arial" w:eastAsia="黑体" w:cs="Arial"/>
                <w:szCs w:val="21"/>
                <w:lang w:val="en-US" w:eastAsia="zh-CN"/>
              </w:rPr>
              <w:t>2</w:t>
            </w:r>
          </w:p>
        </w:tc>
        <w:tc>
          <w:tcPr>
            <w:tcW w:w="6922" w:type="dxa"/>
          </w:tcPr>
          <w:p w14:paraId="55D87512">
            <w:pPr>
              <w:ind w:firstLine="360" w:firstLineChars="200"/>
              <w:rPr>
                <w:rFonts w:hint="eastAsia" w:ascii="宋体" w:hAnsi="宋体" w:eastAsia="宋体"/>
                <w:sz w:val="18"/>
                <w:szCs w:val="18"/>
              </w:rPr>
            </w:pPr>
            <w:r>
              <w:rPr>
                <w:rFonts w:hint="eastAsia" w:ascii="宋体" w:hAnsi="宋体" w:eastAsia="宋体"/>
                <w:sz w:val="18"/>
                <w:szCs w:val="18"/>
              </w:rPr>
              <w:t>丁雅，空乘专业专职讲师，毕业于韩国庆熙大学国际韩国语言文化专业，有3年的全日空航空飞行经历。主持并完成“2020年上海市高校青年教师培养资助计划”科研项目。</w:t>
            </w:r>
          </w:p>
          <w:p w14:paraId="0C555F56">
            <w:pPr>
              <w:ind w:firstLine="360" w:firstLineChars="200"/>
              <w:rPr>
                <w:rFonts w:hint="eastAsia" w:ascii="宋体" w:hAnsi="宋体" w:eastAsia="宋体"/>
                <w:sz w:val="18"/>
                <w:szCs w:val="18"/>
              </w:rPr>
            </w:pPr>
            <w:r>
              <w:rPr>
                <w:rFonts w:hint="eastAsia" w:ascii="宋体" w:hAnsi="宋体" w:eastAsia="宋体"/>
                <w:sz w:val="18"/>
                <w:szCs w:val="18"/>
              </w:rPr>
              <w:t>本课程是</w:t>
            </w:r>
            <w:r>
              <w:rPr>
                <w:rFonts w:hint="eastAsia" w:ascii="宋体" w:hAnsi="宋体" w:eastAsia="宋体"/>
                <w:sz w:val="18"/>
                <w:szCs w:val="18"/>
                <w:lang w:val="en-US" w:eastAsia="zh-CN"/>
              </w:rPr>
              <w:t>旅游管理专业</w:t>
            </w:r>
            <w:r>
              <w:rPr>
                <w:rFonts w:hint="eastAsia" w:ascii="宋体" w:hAnsi="宋体" w:eastAsia="宋体"/>
                <w:sz w:val="18"/>
                <w:szCs w:val="18"/>
              </w:rPr>
              <w:t>面向</w:t>
            </w:r>
            <w:r>
              <w:rPr>
                <w:rFonts w:hint="eastAsia" w:ascii="宋体" w:hAnsi="宋体" w:eastAsia="宋体"/>
                <w:sz w:val="18"/>
                <w:szCs w:val="18"/>
                <w:lang w:val="en-US" w:eastAsia="zh-CN"/>
              </w:rPr>
              <w:t>一</w:t>
            </w:r>
            <w:r>
              <w:rPr>
                <w:rFonts w:hint="eastAsia" w:ascii="宋体" w:hAnsi="宋体" w:eastAsia="宋体"/>
                <w:sz w:val="18"/>
                <w:szCs w:val="18"/>
              </w:rPr>
              <w:t>年级学生开设的一门专业选修课，旨在语言培养方面为学生提供多元选择，拓宽知识面，拥有国际化视野，为</w:t>
            </w:r>
            <w:r>
              <w:rPr>
                <w:rFonts w:hint="eastAsia" w:ascii="宋体" w:hAnsi="宋体" w:eastAsia="宋体"/>
                <w:sz w:val="18"/>
                <w:szCs w:val="18"/>
                <w:lang w:val="en-US" w:eastAsia="zh-CN"/>
              </w:rPr>
              <w:t>旅游</w:t>
            </w:r>
            <w:r>
              <w:rPr>
                <w:rFonts w:hint="eastAsia" w:ascii="宋体" w:hAnsi="宋体" w:eastAsia="宋体"/>
                <w:sz w:val="18"/>
                <w:szCs w:val="18"/>
              </w:rPr>
              <w:t>领域培养多语言使用人才。课程选用韩国最高学府—首尔大学语言学院的专业教材，引入韩国目前最为正统的针对外国学生的韩语教学方法，以多种语言教学模式启发学生的二语学习，在学生对韩语有一定掌握后引入</w:t>
            </w:r>
            <w:r>
              <w:rPr>
                <w:rFonts w:hint="eastAsia" w:ascii="宋体" w:hAnsi="宋体" w:eastAsia="宋体"/>
                <w:sz w:val="18"/>
                <w:szCs w:val="18"/>
                <w:lang w:val="en-US" w:eastAsia="zh-CN"/>
              </w:rPr>
              <w:t>旅游</w:t>
            </w:r>
            <w:r>
              <w:rPr>
                <w:rFonts w:hint="eastAsia" w:ascii="宋体" w:hAnsi="宋体" w:eastAsia="宋体"/>
                <w:sz w:val="18"/>
                <w:szCs w:val="18"/>
              </w:rPr>
              <w:t>服务类相关词汇、句型等，培养学生与本专业相关的韩语能力。</w:t>
            </w:r>
          </w:p>
        </w:tc>
      </w:tr>
      <w:tr w14:paraId="5B8171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58" w:type="dxa"/>
            <w:vAlign w:val="center"/>
          </w:tcPr>
          <w:p w14:paraId="30C22C3C">
            <w:pPr>
              <w:jc w:val="center"/>
              <w:rPr>
                <w:rFonts w:ascii="Arial" w:hAnsi="Arial" w:eastAsia="黑体" w:cs="Arial"/>
                <w:szCs w:val="21"/>
              </w:rPr>
            </w:pPr>
            <w:r>
              <w:rPr>
                <w:rFonts w:ascii="Arial" w:hAnsi="Arial" w:eastAsia="黑体" w:cs="Arial"/>
                <w:szCs w:val="21"/>
              </w:rPr>
              <w:t>课程</w:t>
            </w:r>
            <w:r>
              <w:rPr>
                <w:rFonts w:hint="eastAsia" w:ascii="Arial" w:hAnsi="Arial" w:eastAsia="黑体" w:cs="Arial"/>
                <w:sz w:val="24"/>
                <w:szCs w:val="24"/>
                <w:lang w:val="en-US" w:eastAsia="zh-CN"/>
              </w:rPr>
              <w:t>B</w:t>
            </w:r>
            <w:r>
              <w:rPr>
                <w:rFonts w:hint="eastAsia" w:ascii="Arial" w:hAnsi="Arial" w:eastAsia="黑体" w:cs="Arial"/>
                <w:szCs w:val="21"/>
              </w:rPr>
              <w:t>：</w:t>
            </w:r>
            <w:r>
              <w:rPr>
                <w:rFonts w:hint="eastAsia" w:ascii="Arial" w:hAnsi="Arial" w:eastAsia="黑体" w:cs="Arial"/>
                <w:szCs w:val="21"/>
                <w:lang w:val="en-US" w:eastAsia="zh-CN"/>
              </w:rPr>
              <w:t>音乐欣赏</w:t>
            </w:r>
            <w:r>
              <w:rPr>
                <w:rFonts w:hint="eastAsia" w:ascii="Arial" w:hAnsi="Arial" w:eastAsia="黑体" w:cs="Arial"/>
                <w:szCs w:val="21"/>
              </w:rPr>
              <w:t>（00</w:t>
            </w:r>
            <w:r>
              <w:rPr>
                <w:rFonts w:hint="eastAsia" w:ascii="Arial" w:hAnsi="Arial" w:eastAsia="黑体" w:cs="Arial"/>
                <w:szCs w:val="21"/>
                <w:lang w:val="en-US" w:eastAsia="zh-CN"/>
              </w:rPr>
              <w:t>5</w:t>
            </w:r>
            <w:r>
              <w:rPr>
                <w:rFonts w:hint="eastAsia" w:ascii="Arial" w:hAnsi="Arial" w:eastAsia="黑体" w:cs="Arial"/>
                <w:szCs w:val="21"/>
              </w:rPr>
              <w:t>01</w:t>
            </w:r>
            <w:r>
              <w:rPr>
                <w:rFonts w:hint="eastAsia" w:ascii="Arial" w:hAnsi="Arial" w:eastAsia="黑体" w:cs="Arial"/>
                <w:szCs w:val="21"/>
                <w:lang w:val="en-US" w:eastAsia="zh-CN"/>
              </w:rPr>
              <w:t>45</w:t>
            </w:r>
            <w:r>
              <w:rPr>
                <w:rFonts w:hint="eastAsia" w:ascii="Arial" w:hAnsi="Arial" w:eastAsia="黑体" w:cs="Arial"/>
                <w:szCs w:val="21"/>
              </w:rPr>
              <w:t>）</w:t>
            </w:r>
          </w:p>
        </w:tc>
        <w:tc>
          <w:tcPr>
            <w:tcW w:w="662" w:type="dxa"/>
          </w:tcPr>
          <w:p w14:paraId="579353F3">
            <w:pPr>
              <w:jc w:val="center"/>
              <w:rPr>
                <w:rFonts w:hint="eastAsia" w:ascii="Arial" w:hAnsi="Arial" w:eastAsia="黑体" w:cs="Arial"/>
                <w:szCs w:val="21"/>
                <w:lang w:val="en-US" w:eastAsia="zh-CN"/>
              </w:rPr>
            </w:pPr>
          </w:p>
          <w:p w14:paraId="251F2B95">
            <w:pPr>
              <w:jc w:val="center"/>
              <w:rPr>
                <w:rFonts w:hint="eastAsia" w:ascii="Arial" w:hAnsi="Arial" w:eastAsia="黑体" w:cs="Arial"/>
                <w:szCs w:val="21"/>
                <w:lang w:val="en-US" w:eastAsia="zh-CN"/>
              </w:rPr>
            </w:pPr>
          </w:p>
          <w:p w14:paraId="6C063077">
            <w:pPr>
              <w:jc w:val="center"/>
              <w:rPr>
                <w:rFonts w:hint="eastAsia" w:ascii="Arial" w:hAnsi="Arial" w:eastAsia="黑体" w:cs="Arial"/>
                <w:szCs w:val="21"/>
                <w:lang w:val="en-US" w:eastAsia="zh-CN"/>
              </w:rPr>
            </w:pPr>
          </w:p>
          <w:p w14:paraId="287BF1D9">
            <w:pPr>
              <w:jc w:val="center"/>
              <w:rPr>
                <w:rFonts w:hint="eastAsia" w:ascii="Arial" w:hAnsi="Arial" w:eastAsia="黑体" w:cs="Arial"/>
                <w:szCs w:val="21"/>
                <w:lang w:val="en-US" w:eastAsia="zh-CN"/>
              </w:rPr>
            </w:pPr>
          </w:p>
          <w:p w14:paraId="39EBB2F0">
            <w:pPr>
              <w:jc w:val="center"/>
              <w:rPr>
                <w:rFonts w:hint="eastAsia" w:eastAsiaTheme="minorEastAsia"/>
                <w:lang w:val="en-US" w:eastAsia="zh-CN"/>
              </w:rPr>
            </w:pPr>
            <w:r>
              <w:rPr>
                <w:rFonts w:hint="eastAsia" w:ascii="Arial" w:hAnsi="Arial" w:eastAsia="黑体" w:cs="Arial"/>
                <w:szCs w:val="21"/>
                <w:lang w:val="en-US" w:eastAsia="zh-CN"/>
              </w:rPr>
              <w:t>2</w:t>
            </w:r>
          </w:p>
        </w:tc>
        <w:tc>
          <w:tcPr>
            <w:tcW w:w="6922" w:type="dxa"/>
          </w:tcPr>
          <w:p w14:paraId="5DE62F2F">
            <w:pPr>
              <w:ind w:firstLine="360" w:firstLineChars="200"/>
              <w:rPr>
                <w:rFonts w:hint="eastAsia" w:ascii="宋体" w:hAnsi="宋体" w:eastAsia="宋体"/>
                <w:sz w:val="18"/>
                <w:szCs w:val="18"/>
                <w:lang w:eastAsia="zh-CN"/>
              </w:rPr>
            </w:pPr>
            <w:r>
              <w:rPr>
                <w:rFonts w:hint="eastAsia" w:ascii="宋体" w:hAnsi="宋体" w:eastAsia="宋体"/>
                <w:sz w:val="18"/>
                <w:szCs w:val="18"/>
                <w:lang w:eastAsia="zh-CN"/>
              </w:rPr>
              <w:t>丁雅，空乘专业专职讲师，毕业于韩国庆熙大学国际韩国语言文化专业，有3年的全日空航空飞行经历。主持并完成“2020年上海市高校青年教师培养资助计划”科研项目。有古筝10级演奏证书。</w:t>
            </w:r>
          </w:p>
          <w:p w14:paraId="0E7DE39B">
            <w:pPr>
              <w:ind w:firstLine="360" w:firstLineChars="200"/>
              <w:rPr>
                <w:rFonts w:hint="eastAsia" w:ascii="宋体" w:hAnsi="宋体" w:eastAsia="宋体"/>
                <w:sz w:val="18"/>
                <w:szCs w:val="18"/>
                <w:lang w:eastAsia="zh-CN"/>
              </w:rPr>
            </w:pPr>
            <w:r>
              <w:rPr>
                <w:rFonts w:hint="eastAsia" w:ascii="宋体" w:hAnsi="宋体" w:eastAsia="宋体"/>
                <w:sz w:val="18"/>
                <w:szCs w:val="18"/>
                <w:lang w:eastAsia="zh-CN"/>
              </w:rPr>
              <w:t>《音乐欣赏》课程是</w:t>
            </w:r>
            <w:r>
              <w:rPr>
                <w:rFonts w:hint="eastAsia" w:ascii="宋体" w:hAnsi="宋体" w:eastAsia="宋体"/>
                <w:sz w:val="18"/>
                <w:szCs w:val="18"/>
                <w:lang w:val="en-US" w:eastAsia="zh-CN"/>
              </w:rPr>
              <w:t>旅游管理专业</w:t>
            </w:r>
            <w:r>
              <w:rPr>
                <w:rFonts w:hint="eastAsia" w:ascii="宋体" w:hAnsi="宋体" w:eastAsia="宋体"/>
                <w:sz w:val="18"/>
                <w:szCs w:val="18"/>
                <w:lang w:eastAsia="zh-CN"/>
              </w:rPr>
              <w:t>面向大一学生开设的一门</w:t>
            </w:r>
            <w:r>
              <w:rPr>
                <w:rFonts w:hint="eastAsia" w:ascii="宋体" w:hAnsi="宋体" w:eastAsia="宋体"/>
                <w:sz w:val="18"/>
                <w:szCs w:val="18"/>
                <w:lang w:val="en-US" w:eastAsia="zh-CN"/>
              </w:rPr>
              <w:t>选修课</w:t>
            </w:r>
            <w:r>
              <w:rPr>
                <w:rFonts w:hint="eastAsia" w:ascii="宋体" w:hAnsi="宋体" w:eastAsia="宋体"/>
                <w:sz w:val="18"/>
                <w:szCs w:val="18"/>
                <w:lang w:eastAsia="zh-CN"/>
              </w:rPr>
              <w:t>。本课程作为一门音乐综合课程是学校美育的重要组成部分。课程融人文性、审美性、创新性于一体，不仅可以能帮助学生提高人文素养和审美能力，更能激发创新能力。</w:t>
            </w:r>
          </w:p>
          <w:p w14:paraId="39AF6F0A">
            <w:pPr>
              <w:ind w:firstLine="360" w:firstLineChars="200"/>
            </w:pPr>
            <w:r>
              <w:rPr>
                <w:rFonts w:hint="eastAsia" w:ascii="宋体" w:hAnsi="宋体" w:eastAsia="宋体"/>
                <w:sz w:val="18"/>
                <w:szCs w:val="18"/>
                <w:lang w:eastAsia="zh-CN"/>
              </w:rPr>
              <w:t>本课程选用优秀的中外经典名作，结合音乐史、音乐家生平，通过“鉴”与“赏”的教学活动，依托经典，提高学生音乐审美的能力，同时培养学生感受美、理解美、表现美和创造美的能力，促进学生全面发展，达到自我完善的目标。以提高学生鉴赏能力，审美能力，创新能力从而培养美德，陶冶情操，增加智慧，拓宽认识，提升修养，促进身心健康。</w:t>
            </w:r>
          </w:p>
        </w:tc>
      </w:tr>
      <w:tr w14:paraId="5ECB35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58" w:type="dxa"/>
            <w:shd w:val="clear" w:color="auto" w:fill="auto"/>
            <w:vAlign w:val="center"/>
          </w:tcPr>
          <w:p w14:paraId="3704F382">
            <w:pPr>
              <w:jc w:val="center"/>
              <w:rPr>
                <w:rFonts w:ascii="Arial" w:hAnsi="Arial" w:eastAsia="黑体" w:cs="Arial"/>
                <w:kern w:val="2"/>
                <w:sz w:val="21"/>
                <w:szCs w:val="21"/>
                <w:lang w:val="en-US" w:eastAsia="zh-CN" w:bidi="ar-SA"/>
              </w:rPr>
            </w:pPr>
            <w:r>
              <w:rPr>
                <w:rFonts w:ascii="Arial" w:hAnsi="Arial" w:eastAsia="黑体" w:cs="Arial"/>
                <w:szCs w:val="21"/>
              </w:rPr>
              <w:t>选课说明</w:t>
            </w:r>
          </w:p>
        </w:tc>
        <w:tc>
          <w:tcPr>
            <w:tcW w:w="7584" w:type="dxa"/>
            <w:gridSpan w:val="2"/>
            <w:shd w:val="clear" w:color="auto" w:fill="auto"/>
            <w:vAlign w:val="top"/>
          </w:tcPr>
          <w:p w14:paraId="74A6E8ED">
            <w:pPr>
              <w:rPr>
                <w:rFonts w:hint="eastAsia" w:asciiTheme="minorHAnsi" w:hAnsiTheme="minorHAnsi" w:eastAsiaTheme="minorEastAsia" w:cstheme="minorBidi"/>
                <w:kern w:val="2"/>
                <w:sz w:val="21"/>
                <w:szCs w:val="24"/>
                <w:lang w:val="en-US" w:eastAsia="zh-CN" w:bidi="ar-SA"/>
              </w:rPr>
            </w:pPr>
            <w:r>
              <w:rPr>
                <w:rFonts w:hint="eastAsia" w:ascii="宋体" w:hAnsi="宋体" w:eastAsia="宋体"/>
                <w:sz w:val="18"/>
                <w:szCs w:val="18"/>
              </w:rPr>
              <w:t>《</w:t>
            </w:r>
            <w:r>
              <w:rPr>
                <w:rFonts w:hint="eastAsia" w:ascii="宋体" w:hAnsi="宋体" w:eastAsia="宋体"/>
                <w:sz w:val="18"/>
                <w:szCs w:val="18"/>
                <w:lang w:val="en-US" w:eastAsia="zh-CN"/>
              </w:rPr>
              <w:t>商务日语初级</w:t>
            </w:r>
            <w:r>
              <w:rPr>
                <w:rFonts w:hint="eastAsia" w:ascii="宋体" w:hAnsi="宋体" w:eastAsia="宋体"/>
                <w:sz w:val="18"/>
                <w:szCs w:val="18"/>
              </w:rPr>
              <w:t>》和《</w:t>
            </w:r>
            <w:r>
              <w:rPr>
                <w:rFonts w:hint="eastAsia" w:ascii="宋体" w:hAnsi="宋体" w:eastAsia="宋体"/>
                <w:sz w:val="18"/>
                <w:szCs w:val="18"/>
                <w:lang w:val="en-US" w:eastAsia="zh-CN"/>
              </w:rPr>
              <w:t>商务韩语初级</w:t>
            </w:r>
            <w:r>
              <w:rPr>
                <w:rFonts w:hint="eastAsia" w:ascii="宋体" w:hAnsi="宋体" w:eastAsia="宋体"/>
                <w:sz w:val="18"/>
                <w:szCs w:val="18"/>
              </w:rPr>
              <w:t>》两门课程，每位学生二选一。《</w:t>
            </w:r>
            <w:r>
              <w:rPr>
                <w:rFonts w:hint="eastAsia" w:ascii="宋体" w:hAnsi="宋体" w:eastAsia="宋体"/>
                <w:sz w:val="18"/>
                <w:szCs w:val="18"/>
                <w:lang w:val="en-US" w:eastAsia="zh-CN"/>
              </w:rPr>
              <w:t>舞蹈欣赏</w:t>
            </w:r>
            <w:r>
              <w:rPr>
                <w:rFonts w:hint="eastAsia" w:ascii="宋体" w:hAnsi="宋体" w:eastAsia="宋体"/>
                <w:sz w:val="18"/>
                <w:szCs w:val="18"/>
              </w:rPr>
              <w:t>》</w:t>
            </w:r>
            <w:r>
              <w:rPr>
                <w:rFonts w:hint="eastAsia" w:ascii="宋体" w:hAnsi="宋体" w:eastAsia="宋体"/>
                <w:sz w:val="18"/>
                <w:szCs w:val="18"/>
                <w:lang w:val="en-US" w:eastAsia="zh-CN"/>
              </w:rPr>
              <w:t>和《音乐欣赏》两门课程，每位学生二选一。</w:t>
            </w:r>
            <w:r>
              <w:rPr>
                <w:rFonts w:hint="eastAsia" w:ascii="宋体" w:hAnsi="宋体" w:eastAsia="宋体"/>
                <w:sz w:val="18"/>
                <w:szCs w:val="18"/>
              </w:rPr>
              <w:t>学生本学期选修课需修满</w:t>
            </w:r>
            <w:r>
              <w:rPr>
                <w:rFonts w:hint="eastAsia" w:ascii="宋体" w:hAnsi="宋体" w:eastAsia="宋体"/>
                <w:sz w:val="18"/>
                <w:szCs w:val="18"/>
                <w:lang w:val="en-US" w:eastAsia="zh-CN"/>
              </w:rPr>
              <w:t>4</w:t>
            </w:r>
            <w:r>
              <w:rPr>
                <w:rFonts w:hint="eastAsia" w:ascii="宋体" w:hAnsi="宋体" w:eastAsia="宋体"/>
                <w:sz w:val="18"/>
                <w:szCs w:val="18"/>
              </w:rPr>
              <w:t>学分。</w:t>
            </w:r>
          </w:p>
        </w:tc>
      </w:tr>
    </w:tbl>
    <w:p w14:paraId="6606F7A9">
      <w:pPr>
        <w:rPr>
          <w:rFonts w:hint="eastAsia"/>
        </w:rPr>
      </w:pPr>
    </w:p>
    <w:p w14:paraId="3F303BBE">
      <w:pPr>
        <w:pStyle w:val="11"/>
        <w:rPr>
          <w:rFonts w:ascii="宋体" w:hAnsi="宋体" w:eastAsia="宋体"/>
        </w:rPr>
      </w:pPr>
      <w:r>
        <w:rPr>
          <w:rFonts w:hint="eastAsia" w:ascii="宋体" w:hAnsi="宋体" w:eastAsia="宋体"/>
        </w:rPr>
        <w:t>说明：</w:t>
      </w:r>
    </w:p>
    <w:p w14:paraId="2FE42214">
      <w:pPr>
        <w:pStyle w:val="11"/>
        <w:rPr>
          <w:rFonts w:ascii="宋体" w:hAnsi="宋体" w:eastAsia="宋体"/>
        </w:rPr>
      </w:pPr>
      <w:r>
        <w:rPr>
          <w:rFonts w:hint="eastAsia" w:ascii="宋体" w:hAnsi="宋体" w:eastAsia="宋体"/>
        </w:rPr>
        <w:t>1</w:t>
      </w:r>
      <w:r>
        <w:rPr>
          <w:rFonts w:ascii="宋体" w:hAnsi="宋体" w:eastAsia="宋体"/>
        </w:rPr>
        <w:t xml:space="preserve">. </w:t>
      </w:r>
      <w:r>
        <w:rPr>
          <w:rFonts w:hint="eastAsia" w:ascii="宋体" w:hAnsi="宋体" w:eastAsia="宋体"/>
        </w:rPr>
        <w:t>表格不足可以自行补充</w:t>
      </w:r>
    </w:p>
    <w:p w14:paraId="7BAEBFA0">
      <w:pPr>
        <w:pStyle w:val="11"/>
        <w:rPr>
          <w:rFonts w:ascii="宋体" w:hAnsi="宋体" w:eastAsia="宋体"/>
        </w:rPr>
      </w:pPr>
      <w:r>
        <w:rPr>
          <w:rFonts w:hint="eastAsia" w:ascii="宋体" w:hAnsi="宋体" w:eastAsia="宋体"/>
        </w:rPr>
        <w:t>2</w:t>
      </w:r>
      <w:r>
        <w:rPr>
          <w:rFonts w:ascii="宋体" w:hAnsi="宋体" w:eastAsia="宋体"/>
        </w:rPr>
        <w:t xml:space="preserve">. </w:t>
      </w:r>
      <w:r>
        <w:rPr>
          <w:rFonts w:hint="eastAsia" w:ascii="宋体" w:hAnsi="宋体" w:eastAsia="宋体"/>
        </w:rPr>
        <w:t>本表格在确认专业选修选课模式的阶段填写</w:t>
      </w:r>
    </w:p>
    <w:p w14:paraId="1338DE7E">
      <w:pPr>
        <w:pStyle w:val="11"/>
        <w:rPr>
          <w:rFonts w:ascii="宋体" w:hAnsi="宋体" w:eastAsia="宋体"/>
        </w:rPr>
      </w:pPr>
      <w:r>
        <w:rPr>
          <w:rFonts w:ascii="宋体" w:hAnsi="宋体" w:eastAsia="宋体"/>
        </w:rPr>
        <w:t>3.</w:t>
      </w:r>
      <w:r>
        <w:rPr>
          <w:rFonts w:hint="eastAsia" w:ascii="宋体" w:hAnsi="宋体" w:eastAsia="宋体"/>
        </w:rPr>
        <w:t xml:space="preserve"> 本表格在专业课选课阶段由学院上传至学院网站供学生选课时参考</w:t>
      </w:r>
    </w:p>
    <w:sectPr>
      <w:pgSz w:w="11906" w:h="16838"/>
      <w:pgMar w:top="1440" w:right="1440" w:bottom="144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9"/>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5302"/>
    <w:rsid w:val="0000406C"/>
    <w:rsid w:val="000053BD"/>
    <w:rsid w:val="000253C5"/>
    <w:rsid w:val="000528C9"/>
    <w:rsid w:val="000B5EC4"/>
    <w:rsid w:val="00134494"/>
    <w:rsid w:val="0014026B"/>
    <w:rsid w:val="001A71FE"/>
    <w:rsid w:val="001B4AE0"/>
    <w:rsid w:val="001B552E"/>
    <w:rsid w:val="001B5C78"/>
    <w:rsid w:val="001F3C2F"/>
    <w:rsid w:val="00212BB2"/>
    <w:rsid w:val="002359B5"/>
    <w:rsid w:val="002850AC"/>
    <w:rsid w:val="002B7D9F"/>
    <w:rsid w:val="002C5F95"/>
    <w:rsid w:val="002D462A"/>
    <w:rsid w:val="002F532B"/>
    <w:rsid w:val="003566C7"/>
    <w:rsid w:val="00396D1C"/>
    <w:rsid w:val="003C6F27"/>
    <w:rsid w:val="003E0B2A"/>
    <w:rsid w:val="003F6662"/>
    <w:rsid w:val="00412C1A"/>
    <w:rsid w:val="00432C8B"/>
    <w:rsid w:val="004812E4"/>
    <w:rsid w:val="0048514A"/>
    <w:rsid w:val="00486655"/>
    <w:rsid w:val="00491C93"/>
    <w:rsid w:val="004A42EA"/>
    <w:rsid w:val="00537CA1"/>
    <w:rsid w:val="00541CE8"/>
    <w:rsid w:val="00556AB4"/>
    <w:rsid w:val="0056331A"/>
    <w:rsid w:val="005779D8"/>
    <w:rsid w:val="005A2AC0"/>
    <w:rsid w:val="005B37FF"/>
    <w:rsid w:val="005C0551"/>
    <w:rsid w:val="006134C8"/>
    <w:rsid w:val="00614B2B"/>
    <w:rsid w:val="00625990"/>
    <w:rsid w:val="00642E96"/>
    <w:rsid w:val="00672F99"/>
    <w:rsid w:val="0069363A"/>
    <w:rsid w:val="00696882"/>
    <w:rsid w:val="0069707A"/>
    <w:rsid w:val="006F7AB5"/>
    <w:rsid w:val="00715302"/>
    <w:rsid w:val="007255F9"/>
    <w:rsid w:val="00786E78"/>
    <w:rsid w:val="00797170"/>
    <w:rsid w:val="007A1E94"/>
    <w:rsid w:val="007C5FFD"/>
    <w:rsid w:val="007E15B2"/>
    <w:rsid w:val="00843979"/>
    <w:rsid w:val="00847AC5"/>
    <w:rsid w:val="0088311C"/>
    <w:rsid w:val="008B73F7"/>
    <w:rsid w:val="008C0CAE"/>
    <w:rsid w:val="008F73D3"/>
    <w:rsid w:val="00912F4F"/>
    <w:rsid w:val="00923BBF"/>
    <w:rsid w:val="00971E15"/>
    <w:rsid w:val="00994576"/>
    <w:rsid w:val="009A3F3E"/>
    <w:rsid w:val="009C483A"/>
    <w:rsid w:val="009D121B"/>
    <w:rsid w:val="00A00290"/>
    <w:rsid w:val="00A338B1"/>
    <w:rsid w:val="00A812B9"/>
    <w:rsid w:val="00A96D0C"/>
    <w:rsid w:val="00AB046E"/>
    <w:rsid w:val="00AF1B95"/>
    <w:rsid w:val="00AF6601"/>
    <w:rsid w:val="00B021F1"/>
    <w:rsid w:val="00B151A4"/>
    <w:rsid w:val="00B35B6A"/>
    <w:rsid w:val="00B45F81"/>
    <w:rsid w:val="00B7295C"/>
    <w:rsid w:val="00BD25AC"/>
    <w:rsid w:val="00BF6ADF"/>
    <w:rsid w:val="00C04247"/>
    <w:rsid w:val="00CE1D67"/>
    <w:rsid w:val="00CE5AB6"/>
    <w:rsid w:val="00D102EB"/>
    <w:rsid w:val="00D17776"/>
    <w:rsid w:val="00D17E84"/>
    <w:rsid w:val="00D366A1"/>
    <w:rsid w:val="00D670B3"/>
    <w:rsid w:val="00DA1023"/>
    <w:rsid w:val="00DE22B3"/>
    <w:rsid w:val="00DF2B5E"/>
    <w:rsid w:val="00DF6F32"/>
    <w:rsid w:val="00E02480"/>
    <w:rsid w:val="00E45197"/>
    <w:rsid w:val="00E53812"/>
    <w:rsid w:val="00E64B15"/>
    <w:rsid w:val="00EE61E2"/>
    <w:rsid w:val="00F15EED"/>
    <w:rsid w:val="00F45671"/>
    <w:rsid w:val="00F86228"/>
    <w:rsid w:val="00FF3F9A"/>
    <w:rsid w:val="08035BF9"/>
    <w:rsid w:val="0CB63A18"/>
    <w:rsid w:val="10260EB5"/>
    <w:rsid w:val="1CD22F7D"/>
    <w:rsid w:val="203211B0"/>
    <w:rsid w:val="344175CA"/>
    <w:rsid w:val="49C501D7"/>
    <w:rsid w:val="5BCC3C8B"/>
    <w:rsid w:val="6045400C"/>
    <w:rsid w:val="64265F03"/>
    <w:rsid w:val="749D1BA8"/>
    <w:rsid w:val="79273E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32"/>
    <w:qFormat/>
    <w:uiPriority w:val="9"/>
    <w:pPr>
      <w:keepNext/>
      <w:keepLines/>
      <w:spacing w:before="480" w:after="80"/>
      <w:outlineLvl w:val="0"/>
    </w:pPr>
    <w:rPr>
      <w:rFonts w:asciiTheme="majorHAnsi" w:hAnsiTheme="majorHAnsi" w:eastAsiaTheme="majorEastAsia" w:cstheme="majorBidi"/>
      <w:color w:val="104862" w:themeColor="accent1" w:themeShade="BF"/>
      <w:sz w:val="48"/>
      <w:szCs w:val="48"/>
    </w:rPr>
  </w:style>
  <w:style w:type="paragraph" w:styleId="3">
    <w:name w:val="heading 2"/>
    <w:basedOn w:val="1"/>
    <w:next w:val="1"/>
    <w:link w:val="33"/>
    <w:semiHidden/>
    <w:unhideWhenUsed/>
    <w:qFormat/>
    <w:uiPriority w:val="9"/>
    <w:pPr>
      <w:keepNext/>
      <w:keepLines/>
      <w:spacing w:before="160" w:after="80"/>
      <w:outlineLvl w:val="1"/>
    </w:pPr>
    <w:rPr>
      <w:rFonts w:asciiTheme="majorHAnsi" w:hAnsiTheme="majorHAnsi" w:eastAsiaTheme="majorEastAsia" w:cstheme="majorBidi"/>
      <w:color w:val="104862" w:themeColor="accent1" w:themeShade="BF"/>
      <w:sz w:val="40"/>
      <w:szCs w:val="40"/>
    </w:rPr>
  </w:style>
  <w:style w:type="paragraph" w:styleId="4">
    <w:name w:val="heading 3"/>
    <w:basedOn w:val="1"/>
    <w:next w:val="1"/>
    <w:link w:val="34"/>
    <w:semiHidden/>
    <w:unhideWhenUsed/>
    <w:qFormat/>
    <w:uiPriority w:val="9"/>
    <w:pPr>
      <w:keepNext/>
      <w:keepLines/>
      <w:spacing w:before="160" w:after="80"/>
      <w:outlineLvl w:val="2"/>
    </w:pPr>
    <w:rPr>
      <w:rFonts w:asciiTheme="majorHAnsi" w:hAnsiTheme="majorHAnsi" w:eastAsiaTheme="majorEastAsia" w:cstheme="majorBidi"/>
      <w:color w:val="104862" w:themeColor="accent1" w:themeShade="BF"/>
      <w:sz w:val="32"/>
      <w:szCs w:val="32"/>
    </w:rPr>
  </w:style>
  <w:style w:type="paragraph" w:styleId="5">
    <w:name w:val="heading 4"/>
    <w:basedOn w:val="1"/>
    <w:next w:val="1"/>
    <w:link w:val="23"/>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35"/>
    <w:semiHidden/>
    <w:unhideWhenUsed/>
    <w:qFormat/>
    <w:uiPriority w:val="9"/>
    <w:pPr>
      <w:keepNext/>
      <w:keepLines/>
      <w:spacing w:before="80" w:after="40"/>
      <w:outlineLvl w:val="4"/>
    </w:pPr>
    <w:rPr>
      <w:rFonts w:cstheme="majorBidi"/>
      <w:color w:val="104862" w:themeColor="accent1" w:themeShade="BF"/>
      <w:sz w:val="24"/>
    </w:rPr>
  </w:style>
  <w:style w:type="paragraph" w:styleId="7">
    <w:name w:val="heading 6"/>
    <w:basedOn w:val="1"/>
    <w:next w:val="1"/>
    <w:link w:val="36"/>
    <w:semiHidden/>
    <w:unhideWhenUsed/>
    <w:qFormat/>
    <w:uiPriority w:val="9"/>
    <w:pPr>
      <w:keepNext/>
      <w:keepLines/>
      <w:spacing w:before="40"/>
      <w:outlineLvl w:val="5"/>
    </w:pPr>
    <w:rPr>
      <w:rFonts w:cstheme="majorBidi"/>
      <w:b/>
      <w:bCs/>
      <w:color w:val="104862" w:themeColor="accent1" w:themeShade="BF"/>
    </w:rPr>
  </w:style>
  <w:style w:type="paragraph" w:styleId="8">
    <w:name w:val="heading 7"/>
    <w:basedOn w:val="1"/>
    <w:next w:val="1"/>
    <w:link w:val="37"/>
    <w:semiHidden/>
    <w:unhideWhenUsed/>
    <w:qFormat/>
    <w:uiPriority w:val="9"/>
    <w:pPr>
      <w:keepNext/>
      <w:keepLines/>
      <w:spacing w:before="4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38"/>
    <w:semiHidden/>
    <w:unhideWhenUsed/>
    <w:qFormat/>
    <w:uiPriority w:val="9"/>
    <w:pPr>
      <w:keepNext/>
      <w:keepLines/>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39"/>
    <w:semiHidden/>
    <w:unhideWhenUsed/>
    <w:qFormat/>
    <w:uiPriority w:val="9"/>
    <w:pPr>
      <w:keepNext/>
      <w:keepLines/>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footer"/>
    <w:basedOn w:val="1"/>
    <w:link w:val="49"/>
    <w:unhideWhenUsed/>
    <w:uiPriority w:val="99"/>
    <w:pPr>
      <w:tabs>
        <w:tab w:val="center" w:pos="4153"/>
        <w:tab w:val="right" w:pos="8306"/>
      </w:tabs>
      <w:snapToGrid w:val="0"/>
      <w:jc w:val="left"/>
    </w:pPr>
    <w:rPr>
      <w:sz w:val="18"/>
      <w:szCs w:val="18"/>
    </w:rPr>
  </w:style>
  <w:style w:type="paragraph" w:styleId="12">
    <w:name w:val="header"/>
    <w:basedOn w:val="1"/>
    <w:link w:val="48"/>
    <w:unhideWhenUsed/>
    <w:qFormat/>
    <w:uiPriority w:val="99"/>
    <w:pPr>
      <w:tabs>
        <w:tab w:val="center" w:pos="4153"/>
        <w:tab w:val="right" w:pos="8306"/>
      </w:tabs>
      <w:snapToGrid w:val="0"/>
      <w:jc w:val="center"/>
    </w:pPr>
    <w:rPr>
      <w:sz w:val="18"/>
      <w:szCs w:val="18"/>
    </w:rPr>
  </w:style>
  <w:style w:type="paragraph" w:styleId="13">
    <w:name w:val="Subtitle"/>
    <w:basedOn w:val="1"/>
    <w:next w:val="1"/>
    <w:link w:val="41"/>
    <w:qFormat/>
    <w:uiPriority w:val="11"/>
    <w:pPr>
      <w:spacing w:after="160"/>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4">
    <w:name w:val="Normal (Web)"/>
    <w:basedOn w:val="1"/>
    <w:semiHidden/>
    <w:unhideWhenUsed/>
    <w:qFormat/>
    <w:uiPriority w:val="99"/>
    <w:rPr>
      <w:rFonts w:ascii="Times New Roman" w:hAnsi="Times New Roman" w:cs="Times New Roman"/>
      <w:sz w:val="24"/>
    </w:rPr>
  </w:style>
  <w:style w:type="paragraph" w:styleId="15">
    <w:name w:val="Title"/>
    <w:basedOn w:val="1"/>
    <w:next w:val="1"/>
    <w:link w:val="40"/>
    <w:qFormat/>
    <w:uiPriority w:val="10"/>
    <w:pPr>
      <w:spacing w:after="80"/>
      <w:contextualSpacing/>
      <w:jc w:val="center"/>
    </w:pPr>
    <w:rPr>
      <w:rFonts w:asciiTheme="majorHAnsi" w:hAnsiTheme="majorHAnsi" w:eastAsiaTheme="majorEastAsia" w:cstheme="majorBidi"/>
      <w:spacing w:val="-10"/>
      <w:kern w:val="28"/>
      <w:sz w:val="56"/>
      <w:szCs w:val="56"/>
    </w:rPr>
  </w:style>
  <w:style w:type="table" w:styleId="17">
    <w:name w:val="Table Grid"/>
    <w:basedOn w:val="16"/>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9">
    <w:name w:val="正文XXX"/>
    <w:basedOn w:val="20"/>
    <w:autoRedefine/>
    <w:qFormat/>
    <w:uiPriority w:val="0"/>
    <w:pPr>
      <w:spacing w:line="440" w:lineRule="exact"/>
      <w:ind w:firstLine="480"/>
      <w:jc w:val="left"/>
    </w:pPr>
    <w:rPr>
      <w:rFonts w:ascii="Times New Roman" w:hAnsi="Times New Roman" w:eastAsia="宋体" w:cs="Times New Roman"/>
      <w:sz w:val="24"/>
    </w:rPr>
  </w:style>
  <w:style w:type="paragraph" w:styleId="20">
    <w:name w:val="List Paragraph"/>
    <w:basedOn w:val="1"/>
    <w:qFormat/>
    <w:uiPriority w:val="34"/>
    <w:pPr>
      <w:ind w:firstLine="420" w:firstLineChars="200"/>
    </w:pPr>
  </w:style>
  <w:style w:type="paragraph" w:customStyle="1" w:styleId="21">
    <w:name w:val="正文说明XXX"/>
    <w:basedOn w:val="19"/>
    <w:autoRedefine/>
    <w:qFormat/>
    <w:uiPriority w:val="0"/>
    <w:pPr>
      <w:ind w:left="200" w:hanging="200" w:hangingChars="200"/>
    </w:pPr>
  </w:style>
  <w:style w:type="paragraph" w:customStyle="1" w:styleId="22">
    <w:name w:val="一级标题XXX"/>
    <w:basedOn w:val="5"/>
    <w:autoRedefine/>
    <w:qFormat/>
    <w:uiPriority w:val="0"/>
    <w:pPr>
      <w:keepNext w:val="0"/>
      <w:keepLines w:val="0"/>
      <w:spacing w:before="240" w:after="120" w:line="360" w:lineRule="auto"/>
      <w:outlineLvl w:val="0"/>
    </w:pPr>
    <w:rPr>
      <w:rFonts w:eastAsia="黑体"/>
    </w:rPr>
  </w:style>
  <w:style w:type="character" w:customStyle="1" w:styleId="23">
    <w:name w:val="标题 4 字符"/>
    <w:basedOn w:val="18"/>
    <w:link w:val="5"/>
    <w:semiHidden/>
    <w:uiPriority w:val="9"/>
    <w:rPr>
      <w:rFonts w:asciiTheme="majorHAnsi" w:hAnsiTheme="majorHAnsi" w:eastAsiaTheme="majorEastAsia" w:cstheme="majorBidi"/>
      <w:b/>
      <w:bCs/>
      <w:sz w:val="28"/>
      <w:szCs w:val="28"/>
    </w:rPr>
  </w:style>
  <w:style w:type="paragraph" w:customStyle="1" w:styleId="24">
    <w:name w:val="ISO二级标题"/>
    <w:basedOn w:val="19"/>
    <w:next w:val="19"/>
    <w:qFormat/>
    <w:uiPriority w:val="0"/>
    <w:rPr>
      <w:b/>
    </w:rPr>
  </w:style>
  <w:style w:type="paragraph" w:customStyle="1" w:styleId="25">
    <w:name w:val="ISO一级标题"/>
    <w:basedOn w:val="1"/>
    <w:next w:val="1"/>
    <w:autoRedefine/>
    <w:qFormat/>
    <w:uiPriority w:val="0"/>
    <w:pPr>
      <w:spacing w:before="156" w:beforeLines="50" w:line="360" w:lineRule="auto"/>
      <w:jc w:val="left"/>
      <w:outlineLvl w:val="0"/>
    </w:pPr>
    <w:rPr>
      <w:rFonts w:ascii="Arial" w:hAnsi="Arial" w:eastAsia="黑体" w:cs="Times New Roman"/>
      <w:sz w:val="28"/>
    </w:rPr>
  </w:style>
  <w:style w:type="paragraph" w:customStyle="1" w:styleId="26">
    <w:name w:val="表格标题"/>
    <w:basedOn w:val="1"/>
    <w:qFormat/>
    <w:uiPriority w:val="0"/>
    <w:pPr>
      <w:snapToGrid w:val="0"/>
      <w:jc w:val="center"/>
    </w:pPr>
    <w:rPr>
      <w:rFonts w:ascii="Arial" w:hAnsi="Arial" w:eastAsia="黑体" w:cs="Times New Roman"/>
      <w:bCs/>
      <w:color w:val="000000"/>
      <w:szCs w:val="20"/>
    </w:rPr>
  </w:style>
  <w:style w:type="paragraph" w:customStyle="1" w:styleId="27">
    <w:name w:val="一级标题"/>
    <w:basedOn w:val="1"/>
    <w:qFormat/>
    <w:uiPriority w:val="0"/>
    <w:pPr>
      <w:spacing w:line="480" w:lineRule="auto"/>
      <w:outlineLvl w:val="0"/>
    </w:pPr>
    <w:rPr>
      <w:rFonts w:ascii="Arial" w:hAnsi="Arial" w:eastAsia="黑体" w:cs="Times New Roman"/>
      <w:sz w:val="24"/>
      <w:szCs w:val="22"/>
    </w:rPr>
  </w:style>
  <w:style w:type="paragraph" w:customStyle="1" w:styleId="28">
    <w:name w:val="标题正文"/>
    <w:basedOn w:val="1"/>
    <w:qFormat/>
    <w:uiPriority w:val="0"/>
    <w:pPr>
      <w:jc w:val="center"/>
    </w:pPr>
    <w:rPr>
      <w:rFonts w:ascii="Times New Roman" w:hAnsi="Times New Roman" w:eastAsia="宋体" w:cs="Times New Roman"/>
      <w:color w:val="000000"/>
      <w:kern w:val="0"/>
      <w:szCs w:val="21"/>
    </w:rPr>
  </w:style>
  <w:style w:type="paragraph" w:customStyle="1" w:styleId="29">
    <w:name w:val="正文DG"/>
    <w:basedOn w:val="1"/>
    <w:qFormat/>
    <w:uiPriority w:val="0"/>
    <w:pPr>
      <w:widowControl/>
      <w:snapToGrid w:val="0"/>
      <w:spacing w:line="440" w:lineRule="exact"/>
      <w:ind w:firstLine="480" w:firstLineChars="200"/>
      <w:jc w:val="left"/>
    </w:pPr>
    <w:rPr>
      <w:rFonts w:ascii="Times New Roman" w:hAnsi="Times New Roman" w:eastAsia="宋体" w:cs="Times New Roman"/>
      <w:color w:val="000000"/>
      <w:kern w:val="0"/>
      <w:sz w:val="24"/>
    </w:rPr>
  </w:style>
  <w:style w:type="paragraph" w:customStyle="1" w:styleId="30">
    <w:name w:val="二级标题DG"/>
    <w:basedOn w:val="14"/>
    <w:qFormat/>
    <w:uiPriority w:val="0"/>
    <w:pPr>
      <w:widowControl/>
      <w:spacing w:before="50" w:beforeLines="50" w:after="50" w:afterLines="50" w:line="440" w:lineRule="exact"/>
      <w:jc w:val="left"/>
      <w:outlineLvl w:val="1"/>
    </w:pPr>
    <w:rPr>
      <w:rFonts w:eastAsia="宋体" w:cs="宋体"/>
      <w:b/>
      <w:kern w:val="0"/>
    </w:rPr>
  </w:style>
  <w:style w:type="paragraph" w:customStyle="1" w:styleId="31">
    <w:name w:val="一级标题DG"/>
    <w:basedOn w:val="1"/>
    <w:qFormat/>
    <w:uiPriority w:val="0"/>
    <w:pPr>
      <w:widowControl/>
      <w:spacing w:line="480" w:lineRule="auto"/>
      <w:jc w:val="left"/>
      <w:outlineLvl w:val="0"/>
    </w:pPr>
    <w:rPr>
      <w:rFonts w:ascii="Arial" w:hAnsi="Arial" w:eastAsia="黑体" w:cs="宋体"/>
      <w:kern w:val="0"/>
      <w:sz w:val="28"/>
    </w:rPr>
  </w:style>
  <w:style w:type="character" w:customStyle="1" w:styleId="32">
    <w:name w:val="标题 1 字符"/>
    <w:basedOn w:val="18"/>
    <w:link w:val="2"/>
    <w:qFormat/>
    <w:uiPriority w:val="9"/>
    <w:rPr>
      <w:rFonts w:asciiTheme="majorHAnsi" w:hAnsiTheme="majorHAnsi" w:eastAsiaTheme="majorEastAsia" w:cstheme="majorBidi"/>
      <w:color w:val="104862" w:themeColor="accent1" w:themeShade="BF"/>
      <w:sz w:val="48"/>
      <w:szCs w:val="48"/>
    </w:rPr>
  </w:style>
  <w:style w:type="character" w:customStyle="1" w:styleId="33">
    <w:name w:val="标题 2 字符"/>
    <w:basedOn w:val="18"/>
    <w:link w:val="3"/>
    <w:semiHidden/>
    <w:qFormat/>
    <w:uiPriority w:val="9"/>
    <w:rPr>
      <w:rFonts w:asciiTheme="majorHAnsi" w:hAnsiTheme="majorHAnsi" w:eastAsiaTheme="majorEastAsia" w:cstheme="majorBidi"/>
      <w:color w:val="104862" w:themeColor="accent1" w:themeShade="BF"/>
      <w:sz w:val="40"/>
      <w:szCs w:val="40"/>
    </w:rPr>
  </w:style>
  <w:style w:type="character" w:customStyle="1" w:styleId="34">
    <w:name w:val="标题 3 字符"/>
    <w:basedOn w:val="18"/>
    <w:link w:val="4"/>
    <w:semiHidden/>
    <w:qFormat/>
    <w:uiPriority w:val="9"/>
    <w:rPr>
      <w:rFonts w:asciiTheme="majorHAnsi" w:hAnsiTheme="majorHAnsi" w:eastAsiaTheme="majorEastAsia" w:cstheme="majorBidi"/>
      <w:color w:val="104862" w:themeColor="accent1" w:themeShade="BF"/>
      <w:sz w:val="32"/>
      <w:szCs w:val="32"/>
    </w:rPr>
  </w:style>
  <w:style w:type="character" w:customStyle="1" w:styleId="35">
    <w:name w:val="标题 5 字符"/>
    <w:basedOn w:val="18"/>
    <w:link w:val="6"/>
    <w:semiHidden/>
    <w:qFormat/>
    <w:uiPriority w:val="9"/>
    <w:rPr>
      <w:rFonts w:cstheme="majorBidi"/>
      <w:color w:val="104862" w:themeColor="accent1" w:themeShade="BF"/>
      <w:sz w:val="24"/>
    </w:rPr>
  </w:style>
  <w:style w:type="character" w:customStyle="1" w:styleId="36">
    <w:name w:val="标题 6 字符"/>
    <w:basedOn w:val="18"/>
    <w:link w:val="7"/>
    <w:semiHidden/>
    <w:qFormat/>
    <w:uiPriority w:val="9"/>
    <w:rPr>
      <w:rFonts w:cstheme="majorBidi"/>
      <w:b/>
      <w:bCs/>
      <w:color w:val="104862" w:themeColor="accent1" w:themeShade="BF"/>
    </w:rPr>
  </w:style>
  <w:style w:type="character" w:customStyle="1" w:styleId="37">
    <w:name w:val="标题 7 字符"/>
    <w:basedOn w:val="18"/>
    <w:link w:val="8"/>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38">
    <w:name w:val="标题 8 字符"/>
    <w:basedOn w:val="18"/>
    <w:link w:val="9"/>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39">
    <w:name w:val="标题 9 字符"/>
    <w:basedOn w:val="18"/>
    <w:link w:val="10"/>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40">
    <w:name w:val="标题 字符"/>
    <w:basedOn w:val="18"/>
    <w:link w:val="15"/>
    <w:qFormat/>
    <w:uiPriority w:val="10"/>
    <w:rPr>
      <w:rFonts w:asciiTheme="majorHAnsi" w:hAnsiTheme="majorHAnsi" w:eastAsiaTheme="majorEastAsia" w:cstheme="majorBidi"/>
      <w:spacing w:val="-10"/>
      <w:kern w:val="28"/>
      <w:sz w:val="56"/>
      <w:szCs w:val="56"/>
    </w:rPr>
  </w:style>
  <w:style w:type="character" w:customStyle="1" w:styleId="41">
    <w:name w:val="副标题 字符"/>
    <w:basedOn w:val="18"/>
    <w:link w:val="13"/>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42">
    <w:name w:val="Quote"/>
    <w:basedOn w:val="1"/>
    <w:next w:val="1"/>
    <w:link w:val="43"/>
    <w:qFormat/>
    <w:uiPriority w:val="29"/>
    <w:pPr>
      <w:spacing w:before="160" w:after="160"/>
      <w:jc w:val="center"/>
    </w:pPr>
    <w:rPr>
      <w:i/>
      <w:iCs/>
      <w:color w:val="404040" w:themeColor="text1" w:themeTint="BF"/>
      <w14:textFill>
        <w14:solidFill>
          <w14:schemeClr w14:val="tx1">
            <w14:lumMod w14:val="75000"/>
            <w14:lumOff w14:val="25000"/>
          </w14:schemeClr>
        </w14:solidFill>
      </w14:textFill>
    </w:rPr>
  </w:style>
  <w:style w:type="character" w:customStyle="1" w:styleId="43">
    <w:name w:val="引用 字符"/>
    <w:basedOn w:val="18"/>
    <w:link w:val="42"/>
    <w:qFormat/>
    <w:uiPriority w:val="29"/>
    <w:rPr>
      <w:i/>
      <w:iCs/>
      <w:color w:val="404040" w:themeColor="text1" w:themeTint="BF"/>
      <w14:textFill>
        <w14:solidFill>
          <w14:schemeClr w14:val="tx1">
            <w14:lumMod w14:val="75000"/>
            <w14:lumOff w14:val="25000"/>
          </w14:schemeClr>
        </w14:solidFill>
      </w14:textFill>
    </w:rPr>
  </w:style>
  <w:style w:type="character" w:customStyle="1" w:styleId="44">
    <w:name w:val="Intense Emphasis"/>
    <w:basedOn w:val="18"/>
    <w:qFormat/>
    <w:uiPriority w:val="21"/>
    <w:rPr>
      <w:i/>
      <w:iCs/>
      <w:color w:val="104862" w:themeColor="accent1" w:themeShade="BF"/>
    </w:rPr>
  </w:style>
  <w:style w:type="paragraph" w:styleId="45">
    <w:name w:val="Intense Quote"/>
    <w:basedOn w:val="1"/>
    <w:next w:val="1"/>
    <w:link w:val="46"/>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104862" w:themeColor="accent1" w:themeShade="BF"/>
    </w:rPr>
  </w:style>
  <w:style w:type="character" w:customStyle="1" w:styleId="46">
    <w:name w:val="明显引用 字符"/>
    <w:basedOn w:val="18"/>
    <w:link w:val="45"/>
    <w:uiPriority w:val="30"/>
    <w:rPr>
      <w:i/>
      <w:iCs/>
      <w:color w:val="104862" w:themeColor="accent1" w:themeShade="BF"/>
    </w:rPr>
  </w:style>
  <w:style w:type="character" w:customStyle="1" w:styleId="47">
    <w:name w:val="Intense Reference"/>
    <w:basedOn w:val="18"/>
    <w:qFormat/>
    <w:uiPriority w:val="32"/>
    <w:rPr>
      <w:b/>
      <w:bCs/>
      <w:smallCaps/>
      <w:color w:val="104862" w:themeColor="accent1" w:themeShade="BF"/>
      <w:spacing w:val="5"/>
    </w:rPr>
  </w:style>
  <w:style w:type="character" w:customStyle="1" w:styleId="48">
    <w:name w:val="页眉 字符"/>
    <w:basedOn w:val="18"/>
    <w:link w:val="12"/>
    <w:qFormat/>
    <w:uiPriority w:val="99"/>
    <w:rPr>
      <w:sz w:val="18"/>
      <w:szCs w:val="18"/>
    </w:rPr>
  </w:style>
  <w:style w:type="character" w:customStyle="1" w:styleId="49">
    <w:name w:val="页脚 字符"/>
    <w:basedOn w:val="18"/>
    <w:link w:val="11"/>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1434</Words>
  <Characters>1492</Characters>
  <Lines>10</Lines>
  <Paragraphs>3</Paragraphs>
  <TotalTime>0</TotalTime>
  <ScaleCrop>false</ScaleCrop>
  <LinksUpToDate>false</LinksUpToDate>
  <CharactersWithSpaces>1512</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2024-04-16T02:19:00Z</dcterms:created>
  <dc:creator>孙鹏</dc:creator>
  <cp:lastModifiedBy>王冰</cp:lastModifiedBy>
  <dcterms:modified xsi:type="dcterms:W3CDTF">2025-11-04T06:58:07Z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eyJoZGlkIjoiNDA2N2MyOTFlNGI5MDBkMmM0ZjQ3ZjFjZGE3MWY3ZDkiLCJ1c2VySWQiOiIxNjEzODg4NTg4In0=</vt:lpwstr>
  </property>
  <property fmtid="{D5CDD505-2E9C-101B-9397-08002B2CF9AE}" pid="3" name="KSOProductBuildVer">
    <vt:lpwstr>2052-12.1.0.21541</vt:lpwstr>
  </property>
  <property fmtid="{D5CDD505-2E9C-101B-9397-08002B2CF9AE}" pid="4" name="ICV">
    <vt:lpwstr>B00DFD7A13F4443A92459DFFCE570CC5_12</vt:lpwstr>
  </property>
</Properties>
</file>