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6310701"/>
    <w:p w:rsidR="00FE1749" w:rsidRPr="00D13811" w:rsidRDefault="00FE1749" w:rsidP="00AA3DB5">
      <w:pPr>
        <w:spacing w:line="288" w:lineRule="auto"/>
        <w:jc w:val="center"/>
        <w:outlineLvl w:val="0"/>
        <w:rPr>
          <w:rFonts w:ascii="方正小标宋简体" w:hAnsi="宋体"/>
          <w:bCs/>
          <w:kern w:val="0"/>
          <w:szCs w:val="21"/>
        </w:rPr>
      </w:pPr>
      <w:r w:rsidRPr="00AA3DB5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CCBFA" wp14:editId="6B89D510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E1749" w:rsidRDefault="00FE1749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" stroked="f" strokeweight=".5pt">
                <v:path arrowok="t"/>
                <v:textbox>
                  <w:txbxContent>
                    <w:p w:rsidR="00FE1749" w:rsidRDefault="00FE1749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r w:rsidR="00306CF2">
        <w:rPr>
          <w:rFonts w:hint="eastAsia"/>
          <w:b/>
          <w:sz w:val="28"/>
          <w:szCs w:val="30"/>
        </w:rPr>
        <w:t>日本簿记基础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FE1749" w:rsidRDefault="00FE1749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="00306CF2">
        <w:rPr>
          <w:rFonts w:hint="eastAsia"/>
          <w:b/>
          <w:sz w:val="28"/>
          <w:szCs w:val="30"/>
        </w:rPr>
        <w:t xml:space="preserve">Basic </w:t>
      </w:r>
      <w:r w:rsidR="009508B7">
        <w:rPr>
          <w:rFonts w:hint="eastAsia"/>
          <w:b/>
          <w:sz w:val="28"/>
          <w:szCs w:val="30"/>
        </w:rPr>
        <w:t>Japanese</w:t>
      </w:r>
      <w:r w:rsidR="00B8384B">
        <w:rPr>
          <w:b/>
          <w:sz w:val="28"/>
          <w:szCs w:val="30"/>
        </w:rPr>
        <w:t xml:space="preserve"> </w:t>
      </w:r>
      <w:r w:rsidR="00306CF2">
        <w:rPr>
          <w:rFonts w:hint="eastAsia"/>
          <w:b/>
          <w:sz w:val="28"/>
          <w:szCs w:val="30"/>
        </w:rPr>
        <w:t>A</w:t>
      </w:r>
      <w:r w:rsidR="00306CF2" w:rsidRPr="00306CF2">
        <w:rPr>
          <w:b/>
          <w:sz w:val="28"/>
          <w:szCs w:val="30"/>
        </w:rPr>
        <w:t>ccounting</w:t>
      </w:r>
      <w:r>
        <w:rPr>
          <w:rFonts w:hint="eastAsia"/>
          <w:b/>
          <w:sz w:val="28"/>
          <w:szCs w:val="30"/>
        </w:rPr>
        <w:t>】</w:t>
      </w:r>
      <w:bookmarkStart w:id="1" w:name="a2"/>
      <w:bookmarkEnd w:id="1"/>
    </w:p>
    <w:p w:rsidR="00FE1749" w:rsidRDefault="00FE1749" w:rsidP="00FE1749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 w:rsidR="009508B7" w:rsidRPr="00C40DAE">
        <w:rPr>
          <w:rFonts w:hint="eastAsia"/>
          <w:bCs/>
          <w:color w:val="000000"/>
          <w:sz w:val="20"/>
        </w:rPr>
        <w:t>******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 w:rsidR="0046529D" w:rsidRPr="0046529D">
        <w:rPr>
          <w:rFonts w:hint="eastAsia"/>
          <w:color w:val="000000"/>
          <w:sz w:val="20"/>
          <w:szCs w:val="20"/>
        </w:rPr>
        <w:t>2</w:t>
      </w:r>
      <w:r w:rsidR="0046529D">
        <w:rPr>
          <w:rFonts w:hint="eastAsia"/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 w:rsidR="00A55760">
        <w:rPr>
          <w:rFonts w:hint="eastAsia"/>
          <w:color w:val="000000"/>
          <w:sz w:val="20"/>
          <w:szCs w:val="20"/>
        </w:rPr>
        <w:t>商务日语</w:t>
      </w:r>
      <w:bookmarkStart w:id="2" w:name="_GoBack"/>
      <w:bookmarkEnd w:id="2"/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 w:rsidR="0046529D" w:rsidRPr="00F25341">
        <w:rPr>
          <w:rFonts w:hint="eastAsia"/>
          <w:color w:val="000000"/>
          <w:sz w:val="20"/>
          <w:szCs w:val="20"/>
        </w:rPr>
        <w:t>系级选修课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 w:rsidRPr="00B34946">
        <w:rPr>
          <w:rFonts w:hint="eastAsia"/>
          <w:bCs/>
          <w:color w:val="000000"/>
          <w:sz w:val="20"/>
          <w:szCs w:val="20"/>
        </w:rPr>
        <w:t>职业技术学院</w:t>
      </w:r>
    </w:p>
    <w:p w:rsidR="00FE1749" w:rsidRDefault="00FE1749" w:rsidP="00FE1749">
      <w:pPr>
        <w:snapToGrid w:val="0"/>
        <w:ind w:leftChars="188" w:left="2403" w:hangingChars="1000" w:hanging="2008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FE1749" w:rsidRDefault="00FE1749" w:rsidP="00FE1749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 w:rsidRPr="00C40DAE">
        <w:rPr>
          <w:rFonts w:hint="eastAsia"/>
          <w:color w:val="000000"/>
          <w:sz w:val="20"/>
          <w:szCs w:val="20"/>
        </w:rPr>
        <w:t>《</w:t>
      </w:r>
      <w:r w:rsidR="00306CF2" w:rsidRPr="00306CF2">
        <w:rPr>
          <w:rFonts w:hint="eastAsia"/>
          <w:color w:val="000000"/>
          <w:sz w:val="20"/>
          <w:szCs w:val="20"/>
        </w:rPr>
        <w:t>日本簿记基础</w:t>
      </w:r>
      <w:r w:rsidRPr="00C40DAE">
        <w:rPr>
          <w:rFonts w:hint="eastAsia"/>
          <w:color w:val="000000"/>
          <w:sz w:val="20"/>
          <w:szCs w:val="20"/>
        </w:rPr>
        <w:t>》，</w:t>
      </w:r>
      <w:r w:rsidR="00306CF2" w:rsidRPr="00306CF2">
        <w:rPr>
          <w:rFonts w:hint="eastAsia"/>
          <w:color w:val="000000"/>
          <w:sz w:val="20"/>
          <w:szCs w:val="20"/>
        </w:rPr>
        <w:t>刘燕珞</w:t>
      </w:r>
      <w:r w:rsidR="00B00A6D" w:rsidRPr="00C40DAE">
        <w:rPr>
          <w:color w:val="000000"/>
          <w:sz w:val="20"/>
          <w:szCs w:val="20"/>
        </w:rPr>
        <w:t>主编</w:t>
      </w:r>
      <w:r w:rsidR="00B00A6D" w:rsidRPr="00C40DAE">
        <w:rPr>
          <w:rFonts w:hint="eastAsia"/>
          <w:color w:val="000000"/>
          <w:sz w:val="20"/>
          <w:szCs w:val="20"/>
        </w:rPr>
        <w:t>，</w:t>
      </w:r>
      <w:r w:rsidR="00306CF2" w:rsidRPr="00306CF2">
        <w:rPr>
          <w:rFonts w:hint="eastAsia"/>
          <w:color w:val="000000"/>
          <w:sz w:val="20"/>
          <w:szCs w:val="20"/>
        </w:rPr>
        <w:t>大连理工大学出版社</w:t>
      </w:r>
      <w:r w:rsidR="00306CF2">
        <w:rPr>
          <w:rFonts w:hint="eastAsia"/>
          <w:color w:val="000000"/>
          <w:sz w:val="20"/>
          <w:szCs w:val="20"/>
        </w:rPr>
        <w:t xml:space="preserve"> 2016</w:t>
      </w:r>
      <w:r w:rsidR="00B00A6D">
        <w:rPr>
          <w:rFonts w:hint="eastAsia"/>
          <w:color w:val="000000"/>
          <w:sz w:val="20"/>
          <w:szCs w:val="20"/>
        </w:rPr>
        <w:t>年</w:t>
      </w:r>
      <w:r w:rsidR="00306CF2">
        <w:rPr>
          <w:rFonts w:hint="eastAsia"/>
          <w:color w:val="000000"/>
          <w:sz w:val="20"/>
          <w:szCs w:val="20"/>
        </w:rPr>
        <w:t>3</w:t>
      </w:r>
      <w:r w:rsidR="00B00A6D">
        <w:rPr>
          <w:rFonts w:hint="eastAsia"/>
          <w:color w:val="000000"/>
          <w:sz w:val="20"/>
          <w:szCs w:val="20"/>
        </w:rPr>
        <w:t>月</w:t>
      </w:r>
      <w:r w:rsidR="00B00A6D">
        <w:rPr>
          <w:color w:val="000000"/>
          <w:sz w:val="20"/>
          <w:szCs w:val="20"/>
        </w:rPr>
        <w:t>】</w:t>
      </w:r>
    </w:p>
    <w:p w:rsidR="00FE1749" w:rsidRPr="00306CF2" w:rsidRDefault="00FE1749" w:rsidP="00306CF2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 w:rsidRPr="00570CF8">
        <w:rPr>
          <w:color w:val="000000"/>
          <w:sz w:val="20"/>
          <w:szCs w:val="20"/>
        </w:rPr>
        <w:t>参考</w:t>
      </w:r>
      <w:r w:rsidRPr="00570CF8">
        <w:rPr>
          <w:rFonts w:hint="eastAsia"/>
          <w:color w:val="000000"/>
          <w:sz w:val="20"/>
          <w:szCs w:val="20"/>
        </w:rPr>
        <w:t>书目</w:t>
      </w:r>
      <w:r w:rsidRPr="00570CF8">
        <w:rPr>
          <w:color w:val="000000"/>
          <w:sz w:val="20"/>
          <w:szCs w:val="20"/>
        </w:rPr>
        <w:t>【</w:t>
      </w:r>
      <w:r w:rsidRPr="00C40DAE">
        <w:rPr>
          <w:color w:val="000000"/>
          <w:sz w:val="20"/>
          <w:szCs w:val="20"/>
        </w:rPr>
        <w:t>《</w:t>
      </w:r>
      <w:r w:rsidR="00306CF2">
        <w:rPr>
          <w:rFonts w:hint="eastAsia"/>
          <w:color w:val="000000"/>
          <w:sz w:val="20"/>
          <w:szCs w:val="20"/>
        </w:rPr>
        <w:t>日式</w:t>
      </w:r>
      <w:r w:rsidR="00306CF2" w:rsidRPr="00306CF2">
        <w:rPr>
          <w:rFonts w:hint="eastAsia"/>
          <w:color w:val="000000"/>
          <w:sz w:val="20"/>
          <w:szCs w:val="20"/>
        </w:rPr>
        <w:t>簿记基础</w:t>
      </w:r>
      <w:r w:rsidR="00306CF2">
        <w:rPr>
          <w:rFonts w:hint="eastAsia"/>
          <w:color w:val="000000"/>
          <w:sz w:val="20"/>
          <w:szCs w:val="20"/>
        </w:rPr>
        <w:t>教程</w:t>
      </w:r>
      <w:r w:rsidRPr="00C40DAE">
        <w:rPr>
          <w:color w:val="000000"/>
          <w:sz w:val="20"/>
          <w:szCs w:val="20"/>
        </w:rPr>
        <w:t>》</w:t>
      </w:r>
      <w:r w:rsidRPr="00C40DAE">
        <w:rPr>
          <w:rFonts w:hint="eastAsia"/>
          <w:color w:val="000000"/>
          <w:sz w:val="20"/>
          <w:szCs w:val="20"/>
        </w:rPr>
        <w:t>，</w:t>
      </w:r>
      <w:r w:rsidR="00306CF2">
        <w:rPr>
          <w:rFonts w:hint="eastAsia"/>
          <w:color w:val="000000"/>
          <w:sz w:val="20"/>
          <w:szCs w:val="20"/>
        </w:rPr>
        <w:t>曲淑艳</w:t>
      </w:r>
      <w:r w:rsidRPr="00C40DAE">
        <w:rPr>
          <w:rFonts w:hint="eastAsia"/>
          <w:color w:val="000000"/>
          <w:sz w:val="20"/>
          <w:szCs w:val="20"/>
        </w:rPr>
        <w:t>主编，</w:t>
      </w:r>
      <w:r w:rsidR="00306CF2" w:rsidRPr="00306CF2">
        <w:rPr>
          <w:rFonts w:hint="eastAsia"/>
          <w:color w:val="000000"/>
          <w:sz w:val="20"/>
          <w:szCs w:val="20"/>
        </w:rPr>
        <w:t>外语教学与研究出版社</w:t>
      </w:r>
      <w:r w:rsidR="00FF27EB">
        <w:rPr>
          <w:rFonts w:hint="eastAsia"/>
          <w:color w:val="000000"/>
          <w:sz w:val="20"/>
          <w:szCs w:val="20"/>
        </w:rPr>
        <w:t>2020</w:t>
      </w:r>
      <w:r w:rsidR="00FF27EB">
        <w:rPr>
          <w:rFonts w:hint="eastAsia"/>
          <w:color w:val="000000"/>
          <w:sz w:val="20"/>
          <w:szCs w:val="20"/>
        </w:rPr>
        <w:t>年</w:t>
      </w:r>
      <w:r w:rsidR="00306CF2">
        <w:rPr>
          <w:rFonts w:hint="eastAsia"/>
          <w:color w:val="000000"/>
          <w:sz w:val="20"/>
          <w:szCs w:val="20"/>
        </w:rPr>
        <w:t>8</w:t>
      </w:r>
      <w:r w:rsidR="00FF27EB">
        <w:rPr>
          <w:rFonts w:hint="eastAsia"/>
          <w:color w:val="000000"/>
          <w:sz w:val="20"/>
          <w:szCs w:val="20"/>
        </w:rPr>
        <w:t>月</w:t>
      </w:r>
      <w:r w:rsidRPr="00570CF8">
        <w:rPr>
          <w:color w:val="000000"/>
          <w:sz w:val="20"/>
          <w:szCs w:val="20"/>
        </w:rPr>
        <w:t>】</w:t>
      </w:r>
    </w:p>
    <w:p w:rsidR="00FE1749" w:rsidRPr="00214E06" w:rsidRDefault="00FE1749" w:rsidP="00FE1749">
      <w:pPr>
        <w:snapToGrid w:val="0"/>
        <w:ind w:leftChars="188" w:left="2403" w:hangingChars="1000" w:hanging="2008"/>
        <w:jc w:val="left"/>
        <w:rPr>
          <w:b/>
          <w:bCs/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t>课程网站网址：</w:t>
      </w:r>
      <w:r w:rsidR="009508B7" w:rsidRPr="00214E06">
        <w:rPr>
          <w:b/>
          <w:bCs/>
          <w:color w:val="000000"/>
          <w:sz w:val="20"/>
          <w:szCs w:val="20"/>
        </w:rPr>
        <w:t xml:space="preserve"> </w:t>
      </w:r>
    </w:p>
    <w:p w:rsidR="00FE1749" w:rsidRDefault="00FE1749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 w:rsidR="0046529D">
        <w:rPr>
          <w:rFonts w:hint="eastAsia"/>
          <w:sz w:val="20"/>
          <w:szCs w:val="20"/>
        </w:rPr>
        <w:t>基础日语</w:t>
      </w:r>
      <w:r w:rsidR="00566B34">
        <w:rPr>
          <w:rFonts w:hint="eastAsia"/>
          <w:sz w:val="20"/>
          <w:szCs w:val="20"/>
        </w:rPr>
        <w:t>I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306CF2" w:rsidRDefault="00C40DAE" w:rsidP="00306CF2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本课程属于商务日语专业</w:t>
      </w:r>
      <w:r w:rsidR="00673E6D" w:rsidRPr="00673E6D">
        <w:rPr>
          <w:rFonts w:hint="eastAsia"/>
          <w:color w:val="000000"/>
          <w:sz w:val="20"/>
          <w:szCs w:val="20"/>
        </w:rPr>
        <w:t>的</w:t>
      </w:r>
      <w:r>
        <w:rPr>
          <w:rFonts w:hint="eastAsia"/>
          <w:color w:val="000000"/>
          <w:sz w:val="20"/>
          <w:szCs w:val="20"/>
        </w:rPr>
        <w:t>一门</w:t>
      </w:r>
      <w:r w:rsidRPr="00F25341">
        <w:rPr>
          <w:rFonts w:hint="eastAsia"/>
          <w:color w:val="000000"/>
          <w:sz w:val="20"/>
          <w:szCs w:val="20"/>
        </w:rPr>
        <w:t>选修课</w:t>
      </w:r>
      <w:r w:rsidR="00673E6D" w:rsidRPr="00673E6D">
        <w:rPr>
          <w:rFonts w:hint="eastAsia"/>
          <w:color w:val="000000"/>
          <w:sz w:val="20"/>
          <w:szCs w:val="20"/>
        </w:rPr>
        <w:t>，</w:t>
      </w:r>
      <w:r w:rsidR="00673E6D">
        <w:rPr>
          <w:rFonts w:hint="eastAsia"/>
          <w:color w:val="000000"/>
          <w:sz w:val="20"/>
          <w:szCs w:val="20"/>
        </w:rPr>
        <w:t>是一门培养</w:t>
      </w:r>
      <w:r w:rsidR="00A166A6">
        <w:rPr>
          <w:rFonts w:hint="eastAsia"/>
          <w:color w:val="000000"/>
          <w:sz w:val="20"/>
          <w:szCs w:val="20"/>
        </w:rPr>
        <w:t>学生</w:t>
      </w:r>
      <w:r w:rsidR="00306CF2" w:rsidRPr="00306CF2">
        <w:rPr>
          <w:rFonts w:hint="eastAsia"/>
          <w:color w:val="000000"/>
          <w:sz w:val="20"/>
          <w:szCs w:val="20"/>
        </w:rPr>
        <w:t>掌握在日本会计准则前提下的财务报表的编制方法、分录方法以及企业的基本账簿体系</w:t>
      </w:r>
      <w:r w:rsidR="00306CF2">
        <w:rPr>
          <w:rFonts w:hint="eastAsia"/>
          <w:color w:val="000000"/>
          <w:sz w:val="20"/>
          <w:szCs w:val="20"/>
        </w:rPr>
        <w:t>的课程</w:t>
      </w:r>
      <w:r w:rsidR="00306CF2" w:rsidRPr="00306CF2">
        <w:rPr>
          <w:rFonts w:hint="eastAsia"/>
          <w:color w:val="000000"/>
          <w:sz w:val="20"/>
          <w:szCs w:val="20"/>
        </w:rPr>
        <w:t>。通过全经簿记的学习以及资格证的考取，</w:t>
      </w:r>
      <w:r w:rsidR="00306CF2">
        <w:rPr>
          <w:rFonts w:hint="eastAsia"/>
          <w:color w:val="000000"/>
          <w:sz w:val="20"/>
          <w:szCs w:val="20"/>
        </w:rPr>
        <w:t>使得学生充分掌握簿记的基础原理并能具有会计处理的实战能力。同时</w:t>
      </w:r>
      <w:r w:rsidR="00306CF2" w:rsidRPr="00306CF2">
        <w:rPr>
          <w:rFonts w:hint="eastAsia"/>
          <w:color w:val="000000"/>
          <w:sz w:val="20"/>
          <w:szCs w:val="20"/>
        </w:rPr>
        <w:t>培养和提高学生在商业世界里发现问题并能解决问题的能力，掌握理解经济现象的钥匙。</w:t>
      </w:r>
    </w:p>
    <w:p w:rsidR="00306CF2" w:rsidRDefault="00306CF2" w:rsidP="00306CF2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</w:p>
    <w:p w:rsidR="00FE1749" w:rsidRDefault="00FE1749" w:rsidP="00306CF2">
      <w:pPr>
        <w:snapToGrid w:val="0"/>
        <w:spacing w:line="288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FE1749" w:rsidRDefault="00FF27EB" w:rsidP="0046529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本课程适合</w:t>
      </w:r>
      <w:r w:rsidR="00B8384B">
        <w:rPr>
          <w:rFonts w:hint="eastAsia"/>
          <w:color w:val="000000"/>
          <w:sz w:val="20"/>
          <w:szCs w:val="20"/>
        </w:rPr>
        <w:t>商务日语、商务日语（中日）</w:t>
      </w:r>
      <w:r w:rsidR="0046529D" w:rsidRPr="00C40DAE">
        <w:rPr>
          <w:rFonts w:hint="eastAsia"/>
          <w:color w:val="000000"/>
          <w:sz w:val="20"/>
          <w:szCs w:val="20"/>
        </w:rPr>
        <w:t>专业</w:t>
      </w:r>
      <w:r w:rsidR="007A3F5E">
        <w:rPr>
          <w:rFonts w:hint="eastAsia"/>
          <w:color w:val="000000"/>
          <w:sz w:val="20"/>
          <w:szCs w:val="20"/>
        </w:rPr>
        <w:t>在第二学期</w:t>
      </w:r>
      <w:r w:rsidR="00FE1749" w:rsidRPr="00C40DAE">
        <w:rPr>
          <w:rFonts w:hint="eastAsia"/>
          <w:color w:val="000000"/>
          <w:sz w:val="20"/>
          <w:szCs w:val="20"/>
        </w:rPr>
        <w:t>开设</w:t>
      </w:r>
      <w:r w:rsidR="00FE1749">
        <w:rPr>
          <w:rFonts w:hint="eastAsia"/>
          <w:color w:val="000000"/>
          <w:sz w:val="20"/>
          <w:szCs w:val="20"/>
        </w:rPr>
        <w:t>。</w:t>
      </w:r>
    </w:p>
    <w:p w:rsidR="00FE1749" w:rsidRDefault="00FE1749" w:rsidP="00FE1749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214E06"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FE1749" w:rsidTr="00FE1749">
        <w:tc>
          <w:tcPr>
            <w:tcW w:w="6803" w:type="dxa"/>
          </w:tcPr>
          <w:p w:rsidR="00FE1749" w:rsidRDefault="00FE1749" w:rsidP="00FE1749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FE1749" w:rsidRDefault="00FE1749" w:rsidP="00FE1749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FE1749" w:rsidRPr="0048795F" w:rsidRDefault="00FE1749" w:rsidP="00FE1749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能力。</w:t>
            </w:r>
          </w:p>
        </w:tc>
        <w:tc>
          <w:tcPr>
            <w:tcW w:w="727" w:type="dxa"/>
            <w:vAlign w:val="center"/>
          </w:tcPr>
          <w:p w:rsidR="00FE1749" w:rsidRDefault="00F54321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LO3-5：商务实践能力：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FE1749" w:rsidRDefault="00F54321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rPr>
          <w:trHeight w:val="363"/>
        </w:trPr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FE1749" w:rsidRDefault="008A32B0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11144A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FE1749" w:rsidRDefault="00F54321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</w:tbl>
    <w:p w:rsidR="00FE1749" w:rsidRDefault="00FE1749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FE1749" w:rsidRDefault="00FE1749"/>
    <w:p w:rsidR="00FE1749" w:rsidRDefault="00FE1749" w:rsidP="00FE1749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14E06">
        <w:rPr>
          <w:rFonts w:ascii="黑体" w:eastAsia="黑体" w:hAnsi="宋体" w:hint="eastAsia"/>
          <w:sz w:val="24"/>
        </w:rPr>
        <w:t>五、</w:t>
      </w:r>
      <w:r w:rsidRPr="00214E06">
        <w:rPr>
          <w:rFonts w:ascii="黑体" w:eastAsia="黑体" w:hAnsi="宋体"/>
          <w:sz w:val="24"/>
        </w:rPr>
        <w:t>课程</w:t>
      </w:r>
      <w:r w:rsidRPr="00214E06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551"/>
        <w:gridCol w:w="2160"/>
        <w:gridCol w:w="1276"/>
      </w:tblGrid>
      <w:tr w:rsidR="005C365A" w:rsidTr="007E3506">
        <w:tc>
          <w:tcPr>
            <w:tcW w:w="535" w:type="dxa"/>
            <w:shd w:val="clear" w:color="auto" w:fill="auto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33" w:type="dxa"/>
            <w:shd w:val="clear" w:color="auto" w:fill="auto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797813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</w:t>
            </w:r>
            <w:r>
              <w:rPr>
                <w:rFonts w:hint="eastAsia"/>
                <w:b/>
                <w:color w:val="000000"/>
                <w:sz w:val="20"/>
                <w:szCs w:val="20"/>
              </w:rPr>
              <w:t>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5C365A" w:rsidTr="007E3506">
        <w:trPr>
          <w:trHeight w:val="2768"/>
        </w:trPr>
        <w:tc>
          <w:tcPr>
            <w:tcW w:w="535" w:type="dxa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LO112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通过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日文簿记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材料，掌握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日本会计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基础知识</w:t>
            </w:r>
            <w:r w:rsidRPr="00E52CB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2160" w:type="dxa"/>
            <w:shd w:val="clear" w:color="auto" w:fill="auto"/>
          </w:tcPr>
          <w:p w:rsidR="005C365A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5C365A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5C365A" w:rsidRPr="00D00DCA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讲课、视频</w:t>
            </w:r>
          </w:p>
          <w:p w:rsidR="005C365A" w:rsidRDefault="005C365A" w:rsidP="007E3506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提问</w:t>
            </w:r>
          </w:p>
        </w:tc>
      </w:tr>
      <w:tr w:rsidR="005C365A" w:rsidTr="007E3506">
        <w:trPr>
          <w:trHeight w:val="2031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L0212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E52CBE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能搜集、获取达到目标所需要的学习资源，实施学习计划、反思学习计划、持续改进，达到学习目标。</w:t>
            </w:r>
          </w:p>
        </w:tc>
        <w:tc>
          <w:tcPr>
            <w:tcW w:w="2160" w:type="dxa"/>
            <w:shd w:val="clear" w:color="auto" w:fill="auto"/>
          </w:tcPr>
          <w:p w:rsidR="005C365A" w:rsidRPr="00A33DA4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A33DA4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对文中出现的</w:t>
            </w:r>
            <w:r w:rsidR="00B8384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日文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簿记</w:t>
            </w:r>
            <w:r w:rsidR="00B8384B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相关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的专业术语进行了详细解析。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C365A" w:rsidRPr="00A33DA4" w:rsidRDefault="005C365A" w:rsidP="007E350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课堂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发表</w:t>
            </w:r>
          </w:p>
        </w:tc>
      </w:tr>
      <w:tr w:rsidR="005C365A" w:rsidTr="007E3506">
        <w:trPr>
          <w:trHeight w:val="557"/>
        </w:trPr>
        <w:tc>
          <w:tcPr>
            <w:tcW w:w="535" w:type="dxa"/>
            <w:vMerge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5C365A" w:rsidRPr="00A33DA4" w:rsidRDefault="005C365A" w:rsidP="00E66AE3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2.结合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会计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与日语的专题，督促学生针对日本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簿记体系等方面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进行调查研究。</w:t>
            </w:r>
          </w:p>
        </w:tc>
        <w:tc>
          <w:tcPr>
            <w:tcW w:w="1276" w:type="dxa"/>
            <w:vMerge/>
            <w:shd w:val="clear" w:color="auto" w:fill="auto"/>
          </w:tcPr>
          <w:p w:rsidR="005C365A" w:rsidRPr="00A33DA4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5C365A" w:rsidTr="007E3506">
        <w:tc>
          <w:tcPr>
            <w:tcW w:w="535" w:type="dxa"/>
            <w:shd w:val="clear" w:color="auto" w:fill="auto"/>
            <w:vAlign w:val="center"/>
          </w:tcPr>
          <w:p w:rsidR="005C365A" w:rsidRDefault="005C365A" w:rsidP="007E350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365A" w:rsidRDefault="005C365A" w:rsidP="005C365A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4F27CC">
              <w:rPr>
                <w:rFonts w:ascii="仿宋" w:eastAsia="仿宋" w:hAnsi="仿宋" w:cs="宋体"/>
                <w:color w:val="000000"/>
                <w:kern w:val="0"/>
                <w:sz w:val="24"/>
              </w:rPr>
              <w:t>LO35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掌握日本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簿记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的基本内容和相关的业务环节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365A" w:rsidRDefault="00CD440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针对教材的内容</w:t>
            </w:r>
            <w:r w:rsidR="005C365A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，结合案例进行分析，并操作演练。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365A" w:rsidRPr="004F27CC" w:rsidRDefault="005C365A" w:rsidP="007E350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课堂提问</w:t>
            </w:r>
          </w:p>
        </w:tc>
      </w:tr>
      <w:tr w:rsidR="005C365A" w:rsidTr="007E3506">
        <w:tc>
          <w:tcPr>
            <w:tcW w:w="535" w:type="dxa"/>
            <w:shd w:val="clear" w:color="auto" w:fill="auto"/>
            <w:vAlign w:val="center"/>
          </w:tcPr>
          <w:p w:rsidR="005C365A" w:rsidRDefault="005C365A" w:rsidP="007E350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C365A" w:rsidRPr="004F27CC" w:rsidRDefault="005C365A" w:rsidP="007E3506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L081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C365A" w:rsidRDefault="005C365A" w:rsidP="007E3506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806A1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理解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日本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簿记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行业的发展现状</w:t>
            </w:r>
            <w:r w:rsidRPr="00806A1B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。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培养学生的国际视野。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通过学习和调查研究，增加对中日</w:t>
            </w:r>
            <w:r w:rsidR="00E66AE3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簿记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行业的理解。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C365A" w:rsidRDefault="005C365A" w:rsidP="007E350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课堂提问</w:t>
            </w:r>
          </w:p>
        </w:tc>
      </w:tr>
    </w:tbl>
    <w:p w:rsidR="00FE1749" w:rsidRPr="005678C4" w:rsidRDefault="00FE1749" w:rsidP="00FE1749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AB2F4E" w:rsidRDefault="00FE1749" w:rsidP="00AB2F4E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093B43">
        <w:rPr>
          <w:rFonts w:ascii="黑体" w:eastAsia="黑体" w:hAnsi="宋体" w:hint="eastAsia"/>
          <w:sz w:val="24"/>
        </w:rPr>
        <w:t>六、</w:t>
      </w:r>
      <w:r w:rsidRPr="00093B43">
        <w:rPr>
          <w:rFonts w:ascii="黑体" w:eastAsia="黑体" w:hAnsi="宋体"/>
          <w:sz w:val="24"/>
        </w:rPr>
        <w:t>课程内容</w:t>
      </w:r>
      <w:r>
        <w:rPr>
          <w:rFonts w:ascii="黑体" w:eastAsia="黑体" w:hAnsi="宋体" w:hint="eastAsia"/>
          <w:sz w:val="24"/>
        </w:rPr>
        <w:t xml:space="preserve"> 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1.第1课 </w:t>
      </w:r>
      <w:r w:rsidRPr="00E66AE3">
        <w:rPr>
          <w:rFonts w:ascii="宋体" w:hAnsi="宋体" w:hint="eastAsia"/>
          <w:kern w:val="0"/>
          <w:sz w:val="20"/>
          <w:szCs w:val="20"/>
        </w:rPr>
        <w:t>簿记概论（1）：学习簿记的意义、簿记工作的内容、簿记的目的、</w:t>
      </w:r>
      <w:r>
        <w:rPr>
          <w:rFonts w:ascii="宋体" w:hAnsi="宋体" w:hint="eastAsia"/>
          <w:kern w:val="0"/>
          <w:sz w:val="20"/>
          <w:szCs w:val="20"/>
        </w:rPr>
        <w:t>貸借</w:t>
      </w:r>
      <w:proofErr w:type="gramStart"/>
      <w:r>
        <w:rPr>
          <w:rFonts w:ascii="宋体" w:hAnsi="宋体" w:hint="eastAsia"/>
          <w:kern w:val="0"/>
          <w:sz w:val="20"/>
          <w:szCs w:val="20"/>
        </w:rPr>
        <w:t>対照表的</w:t>
      </w:r>
      <w:proofErr w:type="gramEnd"/>
      <w:r>
        <w:rPr>
          <w:rFonts w:ascii="宋体" w:hAnsi="宋体" w:hint="eastAsia"/>
          <w:kern w:val="0"/>
          <w:sz w:val="20"/>
          <w:szCs w:val="20"/>
        </w:rPr>
        <w:t>意义</w:t>
      </w:r>
      <w:r w:rsidRPr="00E66AE3">
        <w:rPr>
          <w:rFonts w:ascii="宋体" w:hAnsi="宋体" w:hint="eastAsia"/>
          <w:kern w:val="0"/>
          <w:sz w:val="20"/>
          <w:szCs w:val="20"/>
        </w:rPr>
        <w:t>損益計算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書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的意义</w:t>
      </w:r>
      <w:r>
        <w:rPr>
          <w:rFonts w:ascii="宋体" w:hAnsi="宋体" w:hint="eastAsia"/>
          <w:kern w:val="0"/>
          <w:sz w:val="20"/>
          <w:szCs w:val="20"/>
        </w:rPr>
        <w:t>。</w:t>
      </w:r>
      <w:r w:rsidRPr="00E66AE3">
        <w:rPr>
          <w:rFonts w:ascii="宋体" w:hAnsi="宋体" w:hint="eastAsia"/>
          <w:kern w:val="0"/>
          <w:sz w:val="20"/>
          <w:szCs w:val="20"/>
        </w:rPr>
        <w:t>簿记的五大要素、两大财务报表的基本格式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2.第2课 </w:t>
      </w:r>
      <w:r w:rsidRPr="00E66AE3">
        <w:rPr>
          <w:rFonts w:ascii="宋体" w:hAnsi="宋体" w:hint="eastAsia"/>
          <w:kern w:val="0"/>
          <w:sz w:val="20"/>
          <w:szCs w:val="20"/>
        </w:rPr>
        <w:t>簿记概论（2）：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損益計算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書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貸借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対照表的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关系、利润总额或亏的计算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利润总额或亏损的计算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3.第3课 </w:t>
      </w:r>
      <w:r w:rsidRPr="00E66AE3">
        <w:rPr>
          <w:rFonts w:ascii="宋体" w:hAnsi="宋体" w:hint="eastAsia"/>
          <w:kern w:val="0"/>
          <w:sz w:val="20"/>
          <w:szCs w:val="20"/>
        </w:rPr>
        <w:t>记账基础（1）：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簿记意义上的经济活动的概念、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仕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訳方法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4.第4课 </w:t>
      </w:r>
      <w:r w:rsidRPr="00E66AE3">
        <w:rPr>
          <w:rFonts w:ascii="宋体" w:hAnsi="宋体" w:hint="eastAsia"/>
          <w:kern w:val="0"/>
          <w:sz w:val="20"/>
          <w:szCs w:val="20"/>
        </w:rPr>
        <w:t>记账基础（2）</w:t>
      </w:r>
      <w:r>
        <w:rPr>
          <w:rFonts w:ascii="宋体" w:hAnsi="宋体" w:hint="eastAsia"/>
          <w:kern w:val="0"/>
          <w:sz w:val="20"/>
          <w:szCs w:val="20"/>
        </w:rPr>
        <w:t>:学习</w:t>
      </w:r>
      <w:r w:rsidRPr="00E66AE3">
        <w:rPr>
          <w:rFonts w:ascii="宋体" w:hAnsi="宋体" w:hint="eastAsia"/>
          <w:kern w:val="0"/>
          <w:sz w:val="20"/>
          <w:szCs w:val="20"/>
        </w:rPr>
        <w:t>转记、科目账户的关闭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普通日记账和总分类账、试算平衡表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 xml:space="preserve">5.第5课 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商品买卖（1）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:学习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一般销售商品业务的会计处理基础、掛取引、返品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値引き的处理方法、純仕入高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純売上高、人名勘定</w:t>
      </w:r>
      <w:r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6.第6课 </w:t>
      </w:r>
      <w:r w:rsidRPr="00E66AE3">
        <w:rPr>
          <w:rFonts w:ascii="宋体" w:hAnsi="宋体" w:hint="eastAsia"/>
          <w:kern w:val="0"/>
          <w:sz w:val="20"/>
          <w:szCs w:val="20"/>
        </w:rPr>
        <w:t>商品买卖（2）：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運賃、预付的会计处理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商品管理相关账簿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1000" w:hangingChars="500" w:hanging="100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7.第7课 </w:t>
      </w:r>
      <w:r w:rsidRPr="00E66AE3">
        <w:rPr>
          <w:rFonts w:ascii="宋体" w:hAnsi="宋体" w:hint="eastAsia"/>
          <w:kern w:val="0"/>
          <w:sz w:val="20"/>
          <w:szCs w:val="20"/>
        </w:rPr>
        <w:t>现金：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现金的含义、基本会计处理方式、现金日记账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現金過不足、小口現金的相关处理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8.第8课 </w:t>
      </w:r>
      <w:r w:rsidRPr="00E66AE3">
        <w:rPr>
          <w:rFonts w:ascii="宋体" w:hAnsi="宋体" w:hint="eastAsia"/>
          <w:kern w:val="0"/>
          <w:sz w:val="20"/>
          <w:szCs w:val="20"/>
        </w:rPr>
        <w:t>存款：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普通預金、定期預金、当座預金的含义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小切手的处理方法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9.第9课 </w:t>
      </w:r>
      <w:r w:rsidRPr="00E66AE3">
        <w:rPr>
          <w:rFonts w:ascii="宋体" w:hAnsi="宋体" w:hint="eastAsia"/>
          <w:kern w:val="0"/>
          <w:sz w:val="20"/>
          <w:szCs w:val="20"/>
        </w:rPr>
        <w:t>票据：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約束手形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 xml:space="preserve">10.第10课 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其他资产与负债（</w:t>
      </w:r>
      <w:r w:rsidRPr="00E66AE3">
        <w:rPr>
          <w:rFonts w:ascii="宋体" w:hAnsi="宋体"/>
          <w:kern w:val="0"/>
          <w:sz w:val="20"/>
          <w:szCs w:val="20"/>
          <w:lang w:eastAsia="ja-JP"/>
        </w:rPr>
        <w:t>1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）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：学习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貸付金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借入金、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手形貸付金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手形借入金、未収金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未払金</w:t>
      </w:r>
      <w:r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、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仮受金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仮払金、立替金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預り金、商品券</w:t>
      </w:r>
      <w:r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 xml:space="preserve">11.第11课 </w:t>
      </w:r>
      <w:r w:rsidRPr="00E66AE3">
        <w:rPr>
          <w:rFonts w:ascii="宋体" w:hAnsi="宋体" w:hint="eastAsia"/>
          <w:kern w:val="0"/>
          <w:sz w:val="20"/>
          <w:szCs w:val="20"/>
        </w:rPr>
        <w:t>其他资产与负债（2）：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有形固定資産、有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価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証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券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、引出金、税金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 xml:space="preserve">12.第12课 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年结程序：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決算的意义、流程、売上原価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、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貸倒れ、精算表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。</w:t>
      </w:r>
    </w:p>
    <w:p w:rsidR="00E66AE3" w:rsidRP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 xml:space="preserve">13.第13课 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账簿的结账（</w:t>
      </w:r>
      <w:r w:rsidRPr="00E66AE3">
        <w:rPr>
          <w:rFonts w:ascii="宋体" w:hAnsi="宋体"/>
          <w:kern w:val="0"/>
          <w:sz w:val="20"/>
          <w:szCs w:val="20"/>
          <w:lang w:eastAsia="ja-JP"/>
        </w:rPr>
        <w:t>1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）：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収益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費用相关科目的结账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、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収益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費用相关科目的结账</w:t>
      </w:r>
      <w:r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400" w:hangingChars="200" w:hanging="4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 xml:space="preserve">14.第14课 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账簿的结账（</w:t>
      </w:r>
      <w:r w:rsidRPr="00E66AE3">
        <w:rPr>
          <w:rFonts w:ascii="宋体" w:hAnsi="宋体"/>
          <w:kern w:val="0"/>
          <w:sz w:val="20"/>
          <w:szCs w:val="20"/>
          <w:lang w:eastAsia="ja-JP"/>
        </w:rPr>
        <w:t>2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）</w:t>
      </w:r>
      <w:r>
        <w:rPr>
          <w:rFonts w:asciiTheme="minorEastAsia" w:hAnsiTheme="minorEastAsia" w:cs="MS Mincho" w:hint="eastAsia"/>
          <w:kern w:val="0"/>
          <w:sz w:val="20"/>
          <w:szCs w:val="20"/>
          <w:lang w:eastAsia="ja-JP"/>
        </w:rPr>
        <w:t>：学习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会计凭证</w:t>
      </w:r>
      <w:r w:rsidRPr="00E66AE3">
        <w:rPr>
          <w:rFonts w:ascii="宋体" w:hAnsi="宋体"/>
          <w:kern w:val="0"/>
          <w:sz w:val="20"/>
          <w:szCs w:val="20"/>
          <w:lang w:eastAsia="ja-JP"/>
        </w:rPr>
        <w:t>: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資産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負債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資本純資産的相关科目的结账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、</w:t>
      </w:r>
      <w:r w:rsidRPr="00E66AE3">
        <w:rPr>
          <w:rFonts w:ascii="宋体" w:hAnsi="宋体" w:hint="eastAsia"/>
          <w:kern w:val="0"/>
          <w:sz w:val="20"/>
          <w:szCs w:val="20"/>
          <w:lang w:eastAsia="ja-JP"/>
        </w:rPr>
        <w:t>資産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負債</w:t>
      </w:r>
      <w:r w:rsidRPr="00E66AE3">
        <w:rPr>
          <w:rFonts w:ascii="宋体" w:eastAsia="MS Mincho" w:hAnsi="宋体" w:cs="MS Mincho" w:hint="eastAsia"/>
          <w:kern w:val="0"/>
          <w:sz w:val="20"/>
          <w:szCs w:val="20"/>
          <w:lang w:eastAsia="ja-JP"/>
        </w:rPr>
        <w:t>・</w:t>
      </w:r>
      <w:r w:rsidRPr="00E66AE3"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資本純資産的相关科目的结账、会计凭证</w:t>
      </w:r>
      <w:r>
        <w:rPr>
          <w:rFonts w:ascii="宋体" w:eastAsia="宋体" w:hAnsi="宋体" w:cs="宋体" w:hint="eastAsia"/>
          <w:kern w:val="0"/>
          <w:sz w:val="20"/>
          <w:szCs w:val="20"/>
          <w:lang w:eastAsia="ja-JP"/>
        </w:rPr>
        <w:t>。</w:t>
      </w:r>
    </w:p>
    <w:p w:rsidR="00E66AE3" w:rsidRDefault="00E66AE3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>15.</w:t>
      </w:r>
      <w:r w:rsidRPr="00E66AE3">
        <w:rPr>
          <w:rFonts w:ascii="宋体" w:hAnsi="宋体" w:hint="eastAsia"/>
          <w:kern w:val="0"/>
          <w:sz w:val="20"/>
          <w:szCs w:val="20"/>
        </w:rPr>
        <w:t xml:space="preserve"> </w:t>
      </w:r>
      <w:r>
        <w:rPr>
          <w:rFonts w:ascii="宋体" w:hAnsi="宋体" w:hint="eastAsia"/>
          <w:kern w:val="0"/>
          <w:sz w:val="20"/>
          <w:szCs w:val="20"/>
        </w:rPr>
        <w:t>第15课</w:t>
      </w:r>
      <w:r w:rsidRPr="00E66AE3">
        <w:rPr>
          <w:rFonts w:ascii="宋体" w:hAnsi="宋体" w:hint="eastAsia"/>
          <w:kern w:val="0"/>
          <w:sz w:val="20"/>
          <w:szCs w:val="20"/>
        </w:rPr>
        <w:tab/>
        <w:t>财务报表的编制：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Pr="00E66AE3">
        <w:rPr>
          <w:rFonts w:ascii="宋体" w:hAnsi="宋体" w:hint="eastAsia"/>
          <w:kern w:val="0"/>
          <w:sz w:val="20"/>
          <w:szCs w:val="20"/>
        </w:rPr>
        <w:t>損益計算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書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的编制</w:t>
      </w:r>
      <w:r>
        <w:rPr>
          <w:rFonts w:ascii="宋体" w:hAnsi="宋体" w:hint="eastAsia"/>
          <w:kern w:val="0"/>
          <w:sz w:val="20"/>
          <w:szCs w:val="20"/>
        </w:rPr>
        <w:t>、</w:t>
      </w:r>
      <w:r w:rsidRPr="00E66AE3">
        <w:rPr>
          <w:rFonts w:ascii="宋体" w:hAnsi="宋体" w:hint="eastAsia"/>
          <w:kern w:val="0"/>
          <w:sz w:val="20"/>
          <w:szCs w:val="20"/>
        </w:rPr>
        <w:t>貸借</w:t>
      </w:r>
      <w:proofErr w:type="gramStart"/>
      <w:r w:rsidRPr="00E66AE3">
        <w:rPr>
          <w:rFonts w:ascii="宋体" w:hAnsi="宋体" w:hint="eastAsia"/>
          <w:kern w:val="0"/>
          <w:sz w:val="20"/>
          <w:szCs w:val="20"/>
        </w:rPr>
        <w:t>対照表的</w:t>
      </w:r>
      <w:proofErr w:type="gramEnd"/>
      <w:r w:rsidRPr="00E66AE3">
        <w:rPr>
          <w:rFonts w:ascii="宋体" w:hAnsi="宋体" w:hint="eastAsia"/>
          <w:kern w:val="0"/>
          <w:sz w:val="20"/>
          <w:szCs w:val="20"/>
        </w:rPr>
        <w:t>编制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597B49" w:rsidRDefault="00597B49" w:rsidP="00FE1749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6E1C6E" w:rsidRDefault="006E1C6E" w:rsidP="00FE1749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6E1C6E" w:rsidRDefault="006E1C6E" w:rsidP="00FE1749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6E1C6E" w:rsidRPr="00597B49" w:rsidRDefault="006E1C6E" w:rsidP="00FE1749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FE1749" w:rsidRPr="0095433A" w:rsidRDefault="00FE1749" w:rsidP="00FE1749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七、评价方式与成绩</w:t>
      </w:r>
    </w:p>
    <w:tbl>
      <w:tblPr>
        <w:tblpPr w:leftFromText="180" w:rightFromText="180" w:vertAnchor="text" w:horzAnchor="margin" w:tblpY="213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1766EE" w:rsidTr="001766EE">
        <w:tc>
          <w:tcPr>
            <w:tcW w:w="1809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FE1749" w:rsidRDefault="00FE1749" w:rsidP="00FE1749">
      <w:pPr>
        <w:widowControl/>
        <w:spacing w:beforeLines="50" w:before="156" w:afterLines="50" w:after="156" w:line="288" w:lineRule="auto"/>
        <w:jc w:val="left"/>
        <w:rPr>
          <w:rFonts w:ascii="黑体" w:eastAsia="黑体" w:hAnsi="宋体"/>
          <w:sz w:val="24"/>
        </w:rPr>
      </w:pPr>
    </w:p>
    <w:p w:rsidR="00FE1749" w:rsidRPr="006D28B6" w:rsidRDefault="00FE1749" w:rsidP="00C40DAE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r w:rsidR="0054741A">
        <w:rPr>
          <w:rFonts w:hint="eastAsia"/>
          <w:sz w:val="28"/>
          <w:szCs w:val="28"/>
        </w:rPr>
        <w:t>魏嘉敏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AB2F4E"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C40DA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系主任审核签名：</w:t>
      </w:r>
      <w:r w:rsidR="006D28B6">
        <w:rPr>
          <w:rFonts w:hint="eastAsia"/>
          <w:noProof/>
          <w:sz w:val="28"/>
          <w:szCs w:val="28"/>
        </w:rPr>
        <w:drawing>
          <wp:inline distT="0" distB="0" distL="0" distR="0" wp14:anchorId="3F7C6974" wp14:editId="22E652F8">
            <wp:extent cx="391886" cy="288744"/>
            <wp:effectExtent l="0" t="0" r="8255" b="0"/>
            <wp:docPr id="3" name="图片 3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82" cy="28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49" w:rsidRDefault="00FE1749" w:rsidP="00C40DAE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</w:p>
    <w:p w:rsidR="00FE1749" w:rsidRDefault="00FE1749"/>
    <w:p w:rsidR="00FE1749" w:rsidRDefault="00FE1749">
      <w:pPr>
        <w:widowControl/>
        <w:snapToGrid w:val="0"/>
        <w:spacing w:line="480" w:lineRule="exact"/>
        <w:jc w:val="left"/>
        <w:rPr>
          <w:rFonts w:ascii="黑体" w:eastAsia="黑体" w:hAnsi="宋体"/>
          <w:bCs/>
          <w:kern w:val="0"/>
          <w:sz w:val="32"/>
          <w:szCs w:val="32"/>
        </w:rPr>
      </w:pPr>
    </w:p>
    <w:p w:rsidR="00680EB8" w:rsidRPr="00EB2D1D" w:rsidRDefault="00680EB8" w:rsidP="00EB2D1D">
      <w:pPr>
        <w:widowControl/>
        <w:jc w:val="left"/>
        <w:rPr>
          <w:b/>
          <w:sz w:val="28"/>
          <w:szCs w:val="30"/>
        </w:rPr>
      </w:pPr>
    </w:p>
    <w:sectPr w:rsidR="00680EB8" w:rsidRPr="00EB2D1D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256A" w:rsidRDefault="00C8256A" w:rsidP="007E0D92">
      <w:r>
        <w:separator/>
      </w:r>
    </w:p>
  </w:endnote>
  <w:endnote w:type="continuationSeparator" w:id="0">
    <w:p w:rsidR="00C8256A" w:rsidRDefault="00C8256A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256A" w:rsidRDefault="00C8256A" w:rsidP="007E0D92">
      <w:r>
        <w:separator/>
      </w:r>
    </w:p>
  </w:footnote>
  <w:footnote w:type="continuationSeparator" w:id="0">
    <w:p w:rsidR="00C8256A" w:rsidRDefault="00C8256A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75C13264"/>
    <w:multiLevelType w:val="hybridMultilevel"/>
    <w:tmpl w:val="59521A1C"/>
    <w:lvl w:ilvl="0" w:tplc="603EBB48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137D9"/>
    <w:rsid w:val="00015087"/>
    <w:rsid w:val="00036F99"/>
    <w:rsid w:val="0007703F"/>
    <w:rsid w:val="00114D6A"/>
    <w:rsid w:val="00130B0F"/>
    <w:rsid w:val="001510D6"/>
    <w:rsid w:val="001766EE"/>
    <w:rsid w:val="001873A6"/>
    <w:rsid w:val="001A1DAA"/>
    <w:rsid w:val="001B2998"/>
    <w:rsid w:val="001D0D84"/>
    <w:rsid w:val="001E4A3F"/>
    <w:rsid w:val="00201C30"/>
    <w:rsid w:val="002122E9"/>
    <w:rsid w:val="00216961"/>
    <w:rsid w:val="0027174A"/>
    <w:rsid w:val="00295C0D"/>
    <w:rsid w:val="002D504B"/>
    <w:rsid w:val="002D7B54"/>
    <w:rsid w:val="0030261B"/>
    <w:rsid w:val="00306CF2"/>
    <w:rsid w:val="00307239"/>
    <w:rsid w:val="0032397F"/>
    <w:rsid w:val="00340A17"/>
    <w:rsid w:val="003772F1"/>
    <w:rsid w:val="0037771E"/>
    <w:rsid w:val="00377A75"/>
    <w:rsid w:val="00380577"/>
    <w:rsid w:val="003A3FFC"/>
    <w:rsid w:val="003A63EF"/>
    <w:rsid w:val="003B76DC"/>
    <w:rsid w:val="003C2C4C"/>
    <w:rsid w:val="003C507C"/>
    <w:rsid w:val="003C6FFA"/>
    <w:rsid w:val="003D0AB6"/>
    <w:rsid w:val="003F16AE"/>
    <w:rsid w:val="00404E5B"/>
    <w:rsid w:val="00416C1A"/>
    <w:rsid w:val="00447669"/>
    <w:rsid w:val="0046529D"/>
    <w:rsid w:val="00485039"/>
    <w:rsid w:val="0048729A"/>
    <w:rsid w:val="004B0E5E"/>
    <w:rsid w:val="00503A6F"/>
    <w:rsid w:val="0054741A"/>
    <w:rsid w:val="00552D9B"/>
    <w:rsid w:val="00565973"/>
    <w:rsid w:val="00566B34"/>
    <w:rsid w:val="005769EF"/>
    <w:rsid w:val="00597B49"/>
    <w:rsid w:val="005B1E1D"/>
    <w:rsid w:val="005B3BF1"/>
    <w:rsid w:val="005B3E0A"/>
    <w:rsid w:val="005C365A"/>
    <w:rsid w:val="00636B11"/>
    <w:rsid w:val="00655DCC"/>
    <w:rsid w:val="00673E6D"/>
    <w:rsid w:val="00680EB8"/>
    <w:rsid w:val="006B539D"/>
    <w:rsid w:val="006D28B6"/>
    <w:rsid w:val="006E0098"/>
    <w:rsid w:val="006E1C6E"/>
    <w:rsid w:val="006E2BC9"/>
    <w:rsid w:val="007A3F5E"/>
    <w:rsid w:val="007E0D92"/>
    <w:rsid w:val="007F1B3B"/>
    <w:rsid w:val="007F75FB"/>
    <w:rsid w:val="008133FC"/>
    <w:rsid w:val="00836008"/>
    <w:rsid w:val="008561B1"/>
    <w:rsid w:val="00881AFA"/>
    <w:rsid w:val="008A32B0"/>
    <w:rsid w:val="008A4685"/>
    <w:rsid w:val="008B0C19"/>
    <w:rsid w:val="008E0BB1"/>
    <w:rsid w:val="008E5D3D"/>
    <w:rsid w:val="009268A7"/>
    <w:rsid w:val="00941839"/>
    <w:rsid w:val="009508B7"/>
    <w:rsid w:val="009613D3"/>
    <w:rsid w:val="00993449"/>
    <w:rsid w:val="009A7BCE"/>
    <w:rsid w:val="009B0A4A"/>
    <w:rsid w:val="009B5FF1"/>
    <w:rsid w:val="009D1130"/>
    <w:rsid w:val="009D7DAC"/>
    <w:rsid w:val="009F6041"/>
    <w:rsid w:val="00A01F2B"/>
    <w:rsid w:val="00A10AEF"/>
    <w:rsid w:val="00A166A6"/>
    <w:rsid w:val="00A409C1"/>
    <w:rsid w:val="00A46AE1"/>
    <w:rsid w:val="00A55760"/>
    <w:rsid w:val="00AA3DB5"/>
    <w:rsid w:val="00AB2F4E"/>
    <w:rsid w:val="00B00A6D"/>
    <w:rsid w:val="00B603B0"/>
    <w:rsid w:val="00B64D0C"/>
    <w:rsid w:val="00B8384B"/>
    <w:rsid w:val="00B90B7A"/>
    <w:rsid w:val="00BD56E8"/>
    <w:rsid w:val="00BE3736"/>
    <w:rsid w:val="00BF2721"/>
    <w:rsid w:val="00C0620A"/>
    <w:rsid w:val="00C067DD"/>
    <w:rsid w:val="00C17FE6"/>
    <w:rsid w:val="00C24C46"/>
    <w:rsid w:val="00C40DAE"/>
    <w:rsid w:val="00C41322"/>
    <w:rsid w:val="00C55567"/>
    <w:rsid w:val="00C63FD8"/>
    <w:rsid w:val="00C72331"/>
    <w:rsid w:val="00C8256A"/>
    <w:rsid w:val="00CB5D57"/>
    <w:rsid w:val="00CD440A"/>
    <w:rsid w:val="00CD6FD9"/>
    <w:rsid w:val="00D20AB5"/>
    <w:rsid w:val="00D33367"/>
    <w:rsid w:val="00D41851"/>
    <w:rsid w:val="00D44F07"/>
    <w:rsid w:val="00DB3395"/>
    <w:rsid w:val="00DC7DB5"/>
    <w:rsid w:val="00DD7EBA"/>
    <w:rsid w:val="00DE2B85"/>
    <w:rsid w:val="00DF433F"/>
    <w:rsid w:val="00E21D51"/>
    <w:rsid w:val="00E529D8"/>
    <w:rsid w:val="00E62480"/>
    <w:rsid w:val="00E66AE3"/>
    <w:rsid w:val="00E7702E"/>
    <w:rsid w:val="00E93612"/>
    <w:rsid w:val="00EB2D1D"/>
    <w:rsid w:val="00F064B1"/>
    <w:rsid w:val="00F241BD"/>
    <w:rsid w:val="00F54321"/>
    <w:rsid w:val="00F903AC"/>
    <w:rsid w:val="00F94D88"/>
    <w:rsid w:val="00FB3876"/>
    <w:rsid w:val="00FC4985"/>
    <w:rsid w:val="00FE1749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4741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4741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99124-737B-46F0-93A3-D7393FF61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338</Words>
  <Characters>1930</Characters>
  <Application>Microsoft Office Word</Application>
  <DocSecurity>0</DocSecurity>
  <Lines>16</Lines>
  <Paragraphs>4</Paragraphs>
  <ScaleCrop>false</ScaleCrop>
  <Company>Microsoft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6</cp:revision>
  <dcterms:created xsi:type="dcterms:W3CDTF">2020-12-23T11:16:00Z</dcterms:created>
  <dcterms:modified xsi:type="dcterms:W3CDTF">2020-12-31T02:43:00Z</dcterms:modified>
</cp:coreProperties>
</file>