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6E4B4">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14:paraId="757E76FC">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026-2027</w:t>
      </w:r>
      <w:r>
        <w:rPr>
          <w:rFonts w:hint="eastAsia" w:ascii="黑体" w:hAnsi="黑体" w:eastAsia="黑体"/>
          <w:sz w:val="24"/>
          <w:szCs w:val="32"/>
        </w:rPr>
        <w:t>学年第</w:t>
      </w:r>
      <w:r>
        <w:rPr>
          <w:rFonts w:hint="eastAsia" w:ascii="黑体" w:hAnsi="黑体" w:eastAsia="黑体"/>
          <w:sz w:val="24"/>
          <w:szCs w:val="32"/>
          <w:u w:val="single"/>
        </w:rPr>
        <w:t>1</w:t>
      </w:r>
      <w:r>
        <w:rPr>
          <w:rFonts w:hint="eastAsia" w:ascii="黑体" w:hAnsi="黑体" w:eastAsia="黑体"/>
          <w:sz w:val="24"/>
          <w:szCs w:val="32"/>
        </w:rPr>
        <w:t>学期</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lang w:val="en-US" w:eastAsia="zh-CN"/>
        </w:rPr>
        <w:t>职业技术</w:t>
      </w:r>
      <w:r>
        <w:rPr>
          <w:rFonts w:ascii="黑体" w:hAnsi="黑体" w:eastAsia="黑体"/>
          <w:sz w:val="24"/>
          <w:szCs w:val="32"/>
          <w:u w:val="single"/>
        </w:rPr>
        <w:t xml:space="preserve">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lang w:val="en-US" w:eastAsia="zh-CN"/>
        </w:rPr>
        <w:t>现代物流管理</w:t>
      </w:r>
      <w:r>
        <w:rPr>
          <w:rFonts w:ascii="黑体" w:hAnsi="黑体" w:eastAsia="黑体"/>
          <w:sz w:val="24"/>
          <w:szCs w:val="32"/>
          <w:u w:val="single"/>
        </w:rPr>
        <w:t xml:space="preserve">   </w:t>
      </w:r>
      <w:r>
        <w:rPr>
          <w:rFonts w:hint="eastAsia" w:ascii="黑体" w:hAnsi="黑体" w:eastAsia="黑体"/>
          <w:sz w:val="24"/>
          <w:szCs w:val="32"/>
        </w:rPr>
        <w:t>专业</w:t>
      </w:r>
    </w:p>
    <w:p w14:paraId="2FEFF5D1"/>
    <w:p w14:paraId="085F65CE">
      <w:pPr>
        <w:rPr>
          <w:rFonts w:ascii="宋体" w:hAnsi="宋体" w:eastAsia="宋体"/>
          <w:sz w:val="24"/>
          <w:szCs w:val="32"/>
        </w:rPr>
      </w:pPr>
      <w:r>
        <w:rPr>
          <w:rFonts w:hint="eastAsia" w:ascii="宋体" w:hAnsi="宋体" w:eastAsia="宋体"/>
          <w:sz w:val="24"/>
          <w:szCs w:val="32"/>
        </w:rPr>
        <w:t>课程组1</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4</w:t>
      </w:r>
      <w:r>
        <w:rPr>
          <w:rFonts w:ascii="Times New Roman" w:hAnsi="Times New Roman" w:eastAsia="宋体" w:cs="Times New Roman"/>
          <w:sz w:val="24"/>
          <w:szCs w:val="32"/>
        </w:rPr>
        <w:t xml:space="preserve"> </w:t>
      </w:r>
      <w:r>
        <w:rPr>
          <w:rFonts w:hint="eastAsia" w:ascii="宋体" w:hAnsi="宋体" w:eastAsia="宋体"/>
          <w:sz w:val="24"/>
          <w:szCs w:val="32"/>
        </w:rPr>
        <w:t>）</w:t>
      </w:r>
      <w:r>
        <w:rPr>
          <w:rFonts w:hint="eastAsia" w:ascii="宋体" w:hAnsi="宋体" w:eastAsia="宋体"/>
          <w:sz w:val="24"/>
          <w:szCs w:val="32"/>
          <w:lang w:val="en-US" w:eastAsia="zh-CN"/>
        </w:rPr>
        <w:t>学</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26D8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17" w:type="dxa"/>
            <w:vAlign w:val="center"/>
          </w:tcPr>
          <w:p w14:paraId="063C0CAB">
            <w:pPr>
              <w:jc w:val="center"/>
              <w:rPr>
                <w:rFonts w:ascii="黑体" w:hAnsi="黑体" w:eastAsia="黑体"/>
                <w:szCs w:val="21"/>
              </w:rPr>
            </w:pPr>
            <w:r>
              <w:rPr>
                <w:rFonts w:hint="eastAsia" w:ascii="黑体" w:hAnsi="黑体" w:eastAsia="黑体"/>
                <w:szCs w:val="21"/>
              </w:rPr>
              <w:t>课程（代码）</w:t>
            </w:r>
          </w:p>
        </w:tc>
        <w:tc>
          <w:tcPr>
            <w:tcW w:w="646" w:type="dxa"/>
            <w:vAlign w:val="center"/>
          </w:tcPr>
          <w:p w14:paraId="5416A656">
            <w:pPr>
              <w:jc w:val="center"/>
              <w:rPr>
                <w:rFonts w:ascii="黑体" w:hAnsi="黑体" w:eastAsia="黑体"/>
                <w:szCs w:val="21"/>
              </w:rPr>
            </w:pPr>
            <w:r>
              <w:rPr>
                <w:rFonts w:hint="eastAsia" w:ascii="黑体" w:hAnsi="黑体" w:eastAsia="黑体"/>
                <w:szCs w:val="21"/>
              </w:rPr>
              <w:t>学分</w:t>
            </w:r>
          </w:p>
        </w:tc>
        <w:tc>
          <w:tcPr>
            <w:tcW w:w="6753" w:type="dxa"/>
            <w:vAlign w:val="center"/>
          </w:tcPr>
          <w:p w14:paraId="6963C388">
            <w:pPr>
              <w:jc w:val="center"/>
              <w:rPr>
                <w:rFonts w:ascii="黑体" w:hAnsi="黑体" w:eastAsia="黑体"/>
                <w:szCs w:val="21"/>
              </w:rPr>
            </w:pPr>
            <w:r>
              <w:rPr>
                <w:rFonts w:hint="eastAsia" w:ascii="黑体" w:hAnsi="黑体" w:eastAsia="黑体"/>
                <w:szCs w:val="21"/>
              </w:rPr>
              <w:t>课程简介</w:t>
            </w:r>
          </w:p>
        </w:tc>
      </w:tr>
      <w:tr w14:paraId="48D2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07D23BDC">
            <w:pPr>
              <w:jc w:val="center"/>
              <w:rPr>
                <w:rFonts w:ascii="Arial" w:hAnsi="Arial" w:eastAsia="黑体" w:cs="Arial"/>
                <w:szCs w:val="21"/>
              </w:rPr>
            </w:pPr>
            <w:r>
              <w:rPr>
                <w:rFonts w:ascii="Arial" w:hAnsi="Arial" w:eastAsia="黑体" w:cs="Arial"/>
                <w:szCs w:val="21"/>
              </w:rPr>
              <w:t>课程A</w:t>
            </w:r>
          </w:p>
          <w:p w14:paraId="4872761F">
            <w:pPr>
              <w:jc w:val="center"/>
              <w:rPr>
                <w:rFonts w:ascii="Arial" w:hAnsi="Arial" w:eastAsia="黑体" w:cs="Arial"/>
                <w:szCs w:val="21"/>
              </w:rPr>
            </w:pPr>
            <w:r>
              <w:rPr>
                <w:rFonts w:ascii="Arial" w:hAnsi="Arial" w:eastAsia="黑体" w:cs="Arial"/>
                <w:szCs w:val="21"/>
              </w:rPr>
              <w:t>（</w:t>
            </w:r>
            <w:r>
              <w:rPr>
                <w:rFonts w:hint="eastAsia" w:ascii="Arial" w:hAnsi="Arial" w:eastAsia="黑体" w:cs="Arial"/>
                <w:szCs w:val="21"/>
                <w:lang w:val="en-US" w:eastAsia="zh-CN"/>
              </w:rPr>
              <w:t>日语入门</w:t>
            </w:r>
            <w:r>
              <w:rPr>
                <w:rFonts w:ascii="Arial" w:hAnsi="Arial" w:eastAsia="黑体" w:cs="Arial"/>
                <w:szCs w:val="21"/>
              </w:rPr>
              <w:t>）</w:t>
            </w:r>
          </w:p>
        </w:tc>
        <w:tc>
          <w:tcPr>
            <w:tcW w:w="646" w:type="dxa"/>
            <w:vAlign w:val="center"/>
          </w:tcPr>
          <w:p w14:paraId="3D34B356">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34D34EC2">
            <w:pPr>
              <w:rPr>
                <w:rFonts w:hint="eastAsia" w:ascii="宋体" w:hAnsi="宋体" w:eastAsia="宋体"/>
                <w:sz w:val="18"/>
                <w:szCs w:val="21"/>
                <w:lang w:val="en-US" w:eastAsia="zh-CN"/>
              </w:rPr>
            </w:pPr>
            <w:r>
              <w:rPr>
                <w:rFonts w:hint="eastAsia" w:ascii="宋体" w:hAnsi="宋体" w:eastAsia="宋体"/>
                <w:sz w:val="18"/>
                <w:szCs w:val="21"/>
                <w:lang w:val="en-US" w:eastAsia="zh-CN"/>
              </w:rPr>
              <w:t>任课教师：王杨超，讲师</w:t>
            </w:r>
          </w:p>
          <w:p w14:paraId="60520DD7">
            <w:r>
              <w:rPr>
                <w:rFonts w:hint="default" w:ascii="宋体" w:hAnsi="宋体" w:eastAsia="宋体"/>
                <w:sz w:val="18"/>
                <w:szCs w:val="21"/>
                <w:lang w:val="en-US" w:eastAsia="zh-CN"/>
              </w:rPr>
              <w:t>本课程面向零基础学生，系统教授日语五十音图、基础语法、日常会话及商务礼仪用语，注重听、说、读、写四项技能的均衡发展。课程内容涵盖自我介绍、购物、问路、电话沟通等实用场景，并融入日本企业文化、商务习惯与社会习俗讲解，帮助学生建立跨文化沟通意识。完成本课程后，学生可达到JLPT N5水平，具备基本交流能力。对于有意赴日留学、进入日资企业、从事对日贸易或关注东亚市场的同学而言，本课程是开启语言与文化之门的理想起点。</w:t>
            </w:r>
          </w:p>
        </w:tc>
      </w:tr>
      <w:tr w14:paraId="16B7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22EBA552">
            <w:pPr>
              <w:jc w:val="center"/>
              <w:rPr>
                <w:rFonts w:hint="eastAsia" w:ascii="Arial" w:hAnsi="Arial" w:eastAsia="黑体" w:cs="Arial"/>
                <w:szCs w:val="21"/>
                <w:lang w:eastAsia="zh-CN"/>
              </w:rPr>
            </w:pPr>
            <w:r>
              <w:rPr>
                <w:rFonts w:ascii="Arial" w:hAnsi="Arial" w:eastAsia="黑体" w:cs="Arial"/>
                <w:szCs w:val="21"/>
              </w:rPr>
              <w:t>课程B</w:t>
            </w:r>
            <w:r>
              <w:rPr>
                <w:rFonts w:hint="eastAsia" w:ascii="Arial" w:hAnsi="Arial" w:eastAsia="黑体" w:cs="Arial"/>
                <w:szCs w:val="21"/>
                <w:lang w:eastAsia="zh-CN"/>
              </w:rPr>
              <w:t>（</w:t>
            </w:r>
            <w:r>
              <w:rPr>
                <w:rFonts w:hint="eastAsia" w:ascii="Arial" w:hAnsi="Arial" w:eastAsia="黑体" w:cs="Arial"/>
                <w:szCs w:val="21"/>
                <w:lang w:val="en-US" w:eastAsia="zh-CN"/>
              </w:rPr>
              <w:t>经济应用数学</w:t>
            </w:r>
            <w:r>
              <w:rPr>
                <w:rFonts w:hint="eastAsia" w:ascii="Arial" w:hAnsi="Arial" w:eastAsia="黑体" w:cs="Arial"/>
                <w:szCs w:val="21"/>
                <w:lang w:eastAsia="zh-CN"/>
              </w:rPr>
              <w:t>）</w:t>
            </w:r>
          </w:p>
        </w:tc>
        <w:tc>
          <w:tcPr>
            <w:tcW w:w="646" w:type="dxa"/>
            <w:vAlign w:val="center"/>
          </w:tcPr>
          <w:p w14:paraId="563F479D">
            <w:pPr>
              <w:jc w:val="center"/>
              <w:rPr>
                <w:rFonts w:hint="eastAsia" w:ascii="Arial" w:hAnsi="Arial" w:eastAsia="黑体" w:cs="Arial"/>
                <w:szCs w:val="21"/>
                <w:lang w:val="en-US" w:eastAsia="zh-CN"/>
              </w:rPr>
            </w:pPr>
            <w:r>
              <w:rPr>
                <w:rFonts w:hint="eastAsia" w:ascii="Arial" w:hAnsi="Arial" w:eastAsia="黑体" w:cs="Arial"/>
                <w:szCs w:val="21"/>
                <w:lang w:val="en-US" w:eastAsia="zh-CN"/>
              </w:rPr>
              <w:t>4</w:t>
            </w:r>
          </w:p>
        </w:tc>
        <w:tc>
          <w:tcPr>
            <w:tcW w:w="6753" w:type="dxa"/>
          </w:tcPr>
          <w:p w14:paraId="17F50BCE">
            <w:pPr>
              <w:rPr>
                <w:rFonts w:hint="eastAsia" w:ascii="宋体" w:hAnsi="宋体" w:eastAsia="宋体"/>
                <w:sz w:val="18"/>
                <w:szCs w:val="21"/>
                <w:lang w:val="en-US" w:eastAsia="zh-CN"/>
              </w:rPr>
            </w:pPr>
            <w:r>
              <w:rPr>
                <w:rFonts w:hint="eastAsia" w:ascii="宋体" w:hAnsi="宋体" w:eastAsia="宋体"/>
                <w:sz w:val="18"/>
                <w:szCs w:val="21"/>
                <w:lang w:val="en-US" w:eastAsia="zh-CN"/>
              </w:rPr>
              <w:t>任课教师：李艳妮，讲师</w:t>
            </w:r>
          </w:p>
          <w:p w14:paraId="0E3B1852">
            <w:pPr>
              <w:rPr>
                <w:rFonts w:hint="default" w:ascii="宋体" w:hAnsi="宋体" w:eastAsia="宋体"/>
                <w:sz w:val="18"/>
                <w:szCs w:val="21"/>
                <w:lang w:val="en-US" w:eastAsia="zh-CN"/>
              </w:rPr>
            </w:pPr>
            <w:r>
              <w:rPr>
                <w:rFonts w:hint="eastAsia" w:ascii="宋体" w:hAnsi="宋体" w:eastAsia="宋体"/>
                <w:sz w:val="18"/>
                <w:szCs w:val="21"/>
                <w:lang w:val="en-US" w:eastAsia="zh-CN"/>
              </w:rPr>
              <w:t>本课程包括：1.</w:t>
            </w:r>
            <w:r>
              <w:rPr>
                <w:rFonts w:hint="default" w:ascii="宋体" w:hAnsi="宋体" w:eastAsia="宋体"/>
                <w:sz w:val="18"/>
                <w:szCs w:val="21"/>
                <w:lang w:val="en-US" w:eastAsia="zh-CN"/>
              </w:rPr>
              <w:t>微积分基础</w:t>
            </w:r>
            <w:r>
              <w:rPr>
                <w:rFonts w:hint="eastAsia" w:ascii="宋体" w:hAnsi="宋体" w:eastAsia="宋体"/>
                <w:sz w:val="18"/>
                <w:szCs w:val="21"/>
                <w:lang w:val="en-US" w:eastAsia="zh-CN"/>
              </w:rPr>
              <w:t>内容</w:t>
            </w:r>
            <w:r>
              <w:rPr>
                <w:rFonts w:hint="default" w:ascii="宋体" w:hAnsi="宋体" w:eastAsia="宋体"/>
                <w:sz w:val="18"/>
                <w:szCs w:val="21"/>
                <w:lang w:val="en-US" w:eastAsia="zh-CN"/>
              </w:rPr>
              <w:t>包括函数、极限、导数与微分、积分等内容</w:t>
            </w:r>
            <w:r>
              <w:rPr>
                <w:rFonts w:hint="eastAsia" w:ascii="宋体" w:hAnsi="宋体" w:eastAsia="宋体"/>
                <w:sz w:val="18"/>
                <w:szCs w:val="21"/>
                <w:lang w:val="en-US" w:eastAsia="zh-CN"/>
              </w:rPr>
              <w:t xml:space="preserve">2. </w:t>
            </w:r>
            <w:r>
              <w:rPr>
                <w:rFonts w:hint="default" w:ascii="宋体" w:hAnsi="宋体" w:eastAsia="宋体"/>
                <w:sz w:val="18"/>
                <w:szCs w:val="21"/>
                <w:lang w:val="en-US" w:eastAsia="zh-CN"/>
              </w:rPr>
              <w:t>线性代数初步</w:t>
            </w:r>
            <w:r>
              <w:rPr>
                <w:rFonts w:hint="eastAsia" w:ascii="宋体" w:hAnsi="宋体" w:eastAsia="宋体"/>
                <w:sz w:val="18"/>
                <w:szCs w:val="21"/>
                <w:lang w:val="en-US" w:eastAsia="zh-CN"/>
              </w:rPr>
              <w:t>内容</w:t>
            </w:r>
            <w:r>
              <w:rPr>
                <w:rFonts w:hint="default" w:ascii="宋体" w:hAnsi="宋体" w:eastAsia="宋体"/>
                <w:sz w:val="18"/>
                <w:szCs w:val="21"/>
                <w:lang w:val="en-US" w:eastAsia="zh-CN"/>
              </w:rPr>
              <w:t>涵盖矩阵、行列式、线性方程组等知识，用于解决经济中的多元线性关系问题。</w:t>
            </w:r>
            <w:r>
              <w:rPr>
                <w:rFonts w:hint="eastAsia" w:ascii="宋体" w:hAnsi="宋体" w:eastAsia="宋体"/>
                <w:sz w:val="18"/>
                <w:szCs w:val="21"/>
                <w:lang w:val="en-US" w:eastAsia="zh-CN"/>
              </w:rPr>
              <w:t xml:space="preserve">3. </w:t>
            </w:r>
            <w:r>
              <w:rPr>
                <w:rFonts w:hint="default" w:ascii="宋体" w:hAnsi="宋体" w:eastAsia="宋体"/>
                <w:sz w:val="18"/>
                <w:szCs w:val="21"/>
                <w:lang w:val="en-US" w:eastAsia="zh-CN"/>
              </w:rPr>
              <w:t>概率论与数理统计</w:t>
            </w:r>
            <w:r>
              <w:rPr>
                <w:rFonts w:hint="eastAsia" w:ascii="宋体" w:hAnsi="宋体" w:eastAsia="宋体"/>
                <w:sz w:val="18"/>
                <w:szCs w:val="21"/>
                <w:lang w:val="en-US" w:eastAsia="zh-CN"/>
              </w:rPr>
              <w:t>知识</w:t>
            </w:r>
            <w:r>
              <w:rPr>
                <w:rFonts w:hint="default" w:ascii="宋体" w:hAnsi="宋体" w:eastAsia="宋体"/>
                <w:sz w:val="18"/>
                <w:szCs w:val="21"/>
                <w:lang w:val="en-US" w:eastAsia="zh-CN"/>
              </w:rPr>
              <w:t>介绍概率的基本概念、随机变量及其分布、统计推断等，为经济预测和决策提供依据。</w:t>
            </w:r>
            <w:r>
              <w:rPr>
                <w:rFonts w:hint="eastAsia" w:ascii="宋体" w:hAnsi="宋体" w:eastAsia="宋体"/>
                <w:sz w:val="18"/>
                <w:szCs w:val="21"/>
                <w:lang w:val="en-US" w:eastAsia="zh-CN"/>
              </w:rPr>
              <w:t xml:space="preserve">通过本课程的学习，可培养数学思维， </w:t>
            </w:r>
            <w:r>
              <w:rPr>
                <w:rFonts w:hint="default" w:ascii="宋体" w:hAnsi="宋体" w:eastAsia="宋体"/>
                <w:sz w:val="18"/>
                <w:szCs w:val="21"/>
                <w:lang w:val="en-US" w:eastAsia="zh-CN"/>
              </w:rPr>
              <w:t>学会将数学知识与经济实际相结合，培养分析和解决问题的能力。</w:t>
            </w:r>
          </w:p>
          <w:p w14:paraId="7A50DC56"/>
        </w:tc>
      </w:tr>
      <w:tr w14:paraId="317F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trPr>
        <w:tc>
          <w:tcPr>
            <w:tcW w:w="1617" w:type="dxa"/>
            <w:vAlign w:val="center"/>
          </w:tcPr>
          <w:p w14:paraId="1841766D">
            <w:pPr>
              <w:jc w:val="center"/>
              <w:rPr>
                <w:rFonts w:hint="eastAsia" w:ascii="Arial" w:hAnsi="Arial" w:eastAsia="黑体" w:cs="Arial"/>
                <w:szCs w:val="21"/>
                <w:lang w:val="en-US" w:eastAsia="zh-CN"/>
              </w:rPr>
            </w:pPr>
            <w:r>
              <w:rPr>
                <w:rFonts w:ascii="Arial" w:hAnsi="Arial" w:eastAsia="黑体" w:cs="Arial"/>
                <w:szCs w:val="21"/>
              </w:rPr>
              <w:t>课程C</w:t>
            </w:r>
            <w:r>
              <w:rPr>
                <w:rFonts w:hint="eastAsia" w:ascii="Arial" w:hAnsi="Arial" w:eastAsia="黑体" w:cs="Arial"/>
                <w:szCs w:val="21"/>
                <w:lang w:val="en-US" w:eastAsia="zh-CN"/>
              </w:rPr>
              <w:t>(</w:t>
            </w:r>
            <w:bookmarkStart w:id="0" w:name="OLE_LINK1"/>
            <w:r>
              <w:rPr>
                <w:rFonts w:hint="eastAsia" w:ascii="Arial" w:hAnsi="Arial" w:eastAsia="黑体" w:cs="Arial"/>
                <w:szCs w:val="21"/>
              </w:rPr>
              <w:t>一带一路物流通道与新兴市场拓展</w:t>
            </w:r>
            <w:bookmarkEnd w:id="0"/>
            <w:r>
              <w:rPr>
                <w:rFonts w:hint="eastAsia" w:ascii="Arial" w:hAnsi="Arial" w:eastAsia="黑体" w:cs="Arial"/>
                <w:szCs w:val="21"/>
                <w:lang w:val="en-US" w:eastAsia="zh-CN"/>
              </w:rPr>
              <w:t>)</w:t>
            </w:r>
          </w:p>
        </w:tc>
        <w:tc>
          <w:tcPr>
            <w:tcW w:w="646" w:type="dxa"/>
            <w:vAlign w:val="center"/>
          </w:tcPr>
          <w:p w14:paraId="67C87BE1">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50C0753A">
            <w:pPr>
              <w:rPr>
                <w:rFonts w:hint="default" w:ascii="宋体" w:hAnsi="宋体" w:eastAsia="宋体"/>
                <w:sz w:val="18"/>
                <w:szCs w:val="21"/>
                <w:lang w:val="en-US" w:eastAsia="zh-CN"/>
              </w:rPr>
            </w:pPr>
            <w:bookmarkStart w:id="1" w:name="OLE_LINK4"/>
            <w:r>
              <w:rPr>
                <w:rFonts w:hint="eastAsia" w:ascii="宋体" w:hAnsi="宋体" w:eastAsia="宋体"/>
                <w:sz w:val="18"/>
                <w:szCs w:val="21"/>
                <w:lang w:val="en-US" w:eastAsia="zh-CN"/>
              </w:rPr>
              <w:t>任课教师：熊伟， 讲师</w:t>
            </w:r>
          </w:p>
          <w:bookmarkEnd w:id="1"/>
          <w:p w14:paraId="4D3268B3">
            <w:r>
              <w:rPr>
                <w:rFonts w:ascii="Segoe UI" w:hAnsi="Segoe UI" w:eastAsia="Segoe UI" w:cs="Segoe UI"/>
                <w:i w:val="0"/>
                <w:iCs w:val="0"/>
                <w:caps w:val="0"/>
                <w:color w:val="0F1115"/>
                <w:spacing w:val="0"/>
                <w:sz w:val="19"/>
                <w:szCs w:val="19"/>
                <w:shd w:val="clear" w:fill="FFFFFF"/>
              </w:rPr>
              <w:t>本课程旨在培养学生掌握一带一路物流通道的基本理论与新兴市场的拓展方法。课程内容涵盖一带一路六大经济走廊布局、中欧班列与陆海新通道运营模式、关键新兴市场物流环境分析、市场进入策略及地缘政治风险防控等。通过对这门课</w:t>
            </w:r>
            <w:r>
              <w:rPr>
                <w:rFonts w:hint="eastAsia" w:ascii="Segoe UI" w:hAnsi="Segoe UI" w:eastAsia="宋体" w:cs="Segoe UI"/>
                <w:i w:val="0"/>
                <w:iCs w:val="0"/>
                <w:caps w:val="0"/>
                <w:color w:val="0F1115"/>
                <w:spacing w:val="0"/>
                <w:sz w:val="19"/>
                <w:szCs w:val="19"/>
                <w:shd w:val="clear" w:fill="FFFFFF"/>
                <w:lang w:val="en-US" w:eastAsia="zh-CN"/>
              </w:rPr>
              <w:t>程</w:t>
            </w:r>
            <w:r>
              <w:rPr>
                <w:rFonts w:ascii="Segoe UI" w:hAnsi="Segoe UI" w:eastAsia="Segoe UI" w:cs="Segoe UI"/>
                <w:i w:val="0"/>
                <w:iCs w:val="0"/>
                <w:caps w:val="0"/>
                <w:color w:val="0F1115"/>
                <w:spacing w:val="0"/>
                <w:sz w:val="19"/>
                <w:szCs w:val="19"/>
                <w:shd w:val="clear" w:fill="FFFFFF"/>
              </w:rPr>
              <w:t>的学习，学生可以掌握主要物流通道的运行机制与新兴市场的贸易特征，运用通道组合与供应链布局方法进行跨境物流方案设计</w:t>
            </w:r>
            <w:r>
              <w:rPr>
                <w:rFonts w:hint="eastAsia" w:ascii="Segoe UI" w:hAnsi="Segoe UI" w:eastAsia="宋体" w:cs="Segoe UI"/>
                <w:i w:val="0"/>
                <w:iCs w:val="0"/>
                <w:caps w:val="0"/>
                <w:color w:val="0F1115"/>
                <w:spacing w:val="0"/>
                <w:sz w:val="19"/>
                <w:szCs w:val="19"/>
                <w:shd w:val="clear" w:fill="FFFFFF"/>
                <w:lang w:eastAsia="zh-CN"/>
              </w:rPr>
              <w:t>。</w:t>
            </w:r>
          </w:p>
        </w:tc>
      </w:tr>
      <w:tr w14:paraId="567D3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3DABBC39">
            <w:pPr>
              <w:jc w:val="center"/>
              <w:rPr>
                <w:rFonts w:hint="eastAsia" w:ascii="Arial" w:hAnsi="Arial" w:eastAsia="黑体" w:cs="Arial"/>
                <w:szCs w:val="21"/>
                <w:lang w:val="en-US" w:eastAsia="zh-CN"/>
              </w:rPr>
            </w:pPr>
            <w:r>
              <w:rPr>
                <w:rFonts w:ascii="Arial" w:hAnsi="Arial" w:eastAsia="黑体" w:cs="Arial"/>
                <w:szCs w:val="21"/>
              </w:rPr>
              <w:t>课程</w:t>
            </w:r>
            <w:r>
              <w:rPr>
                <w:rFonts w:hint="eastAsia" w:ascii="Arial" w:hAnsi="Arial" w:eastAsia="黑体" w:cs="Arial"/>
                <w:szCs w:val="21"/>
                <w:lang w:val="en-US" w:eastAsia="zh-CN"/>
              </w:rPr>
              <w:t>D(</w:t>
            </w:r>
            <w:bookmarkStart w:id="2" w:name="OLE_LINK3"/>
            <w:r>
              <w:rPr>
                <w:rFonts w:hint="eastAsia" w:ascii="Arial" w:hAnsi="Arial" w:eastAsia="黑体" w:cs="Arial"/>
                <w:szCs w:val="21"/>
              </w:rPr>
              <w:t>航线与智能规划管理</w:t>
            </w:r>
            <w:bookmarkEnd w:id="2"/>
            <w:r>
              <w:rPr>
                <w:rFonts w:hint="eastAsia" w:ascii="Arial" w:hAnsi="Arial" w:eastAsia="黑体" w:cs="Arial"/>
                <w:szCs w:val="21"/>
                <w:lang w:val="en-US" w:eastAsia="zh-CN"/>
              </w:rPr>
              <w:t>)</w:t>
            </w:r>
          </w:p>
        </w:tc>
        <w:tc>
          <w:tcPr>
            <w:tcW w:w="646" w:type="dxa"/>
            <w:vAlign w:val="center"/>
          </w:tcPr>
          <w:p w14:paraId="2165252D">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5DCA0E2E">
            <w:pPr>
              <w:rPr>
                <w:rFonts w:hint="default" w:ascii="宋体" w:hAnsi="宋体" w:eastAsia="宋体"/>
                <w:sz w:val="18"/>
                <w:szCs w:val="21"/>
                <w:lang w:val="en-US" w:eastAsia="zh-CN"/>
              </w:rPr>
            </w:pPr>
            <w:r>
              <w:rPr>
                <w:rFonts w:hint="eastAsia" w:ascii="宋体" w:hAnsi="宋体" w:eastAsia="宋体"/>
                <w:sz w:val="18"/>
                <w:szCs w:val="21"/>
                <w:lang w:val="en-US" w:eastAsia="zh-CN"/>
              </w:rPr>
              <w:t>任课教师：熊伟， 讲师</w:t>
            </w:r>
          </w:p>
          <w:p w14:paraId="2BB933FA">
            <w:pPr>
              <w:rPr>
                <w:rFonts w:hint="eastAsia" w:eastAsia="宋体"/>
                <w:lang w:eastAsia="zh-CN"/>
              </w:rPr>
            </w:pPr>
            <w:r>
              <w:rPr>
                <w:rFonts w:ascii="Segoe UI" w:hAnsi="Segoe UI" w:eastAsia="Segoe UI" w:cs="Segoe UI"/>
                <w:i w:val="0"/>
                <w:iCs w:val="0"/>
                <w:caps w:val="0"/>
                <w:color w:val="0F1115"/>
                <w:spacing w:val="0"/>
                <w:sz w:val="19"/>
                <w:szCs w:val="19"/>
                <w:shd w:val="clear" w:fill="FFFFFF"/>
              </w:rPr>
              <w:t>本课程旨在培养学生掌握海运航线网络规划与智能调度管理的基本理论、基本方法和基本技能。课程内容涵盖全球主要海上贸易航线与战略通道、港口挂靠与班轮航线设计等。</w:t>
            </w:r>
            <w:r>
              <w:rPr>
                <w:rFonts w:hint="eastAsia" w:ascii="Segoe UI" w:hAnsi="Segoe UI" w:eastAsia="宋体" w:cs="Segoe UI"/>
                <w:i w:val="0"/>
                <w:iCs w:val="0"/>
                <w:caps w:val="0"/>
                <w:color w:val="0F1115"/>
                <w:spacing w:val="0"/>
                <w:sz w:val="19"/>
                <w:szCs w:val="19"/>
                <w:shd w:val="clear" w:fill="FFFFFF"/>
                <w:lang w:val="en-US" w:eastAsia="zh-CN"/>
              </w:rPr>
              <w:t>本课程主要采用案例教学法，</w:t>
            </w:r>
            <w:r>
              <w:rPr>
                <w:rFonts w:ascii="Segoe UI" w:hAnsi="Segoe UI" w:eastAsia="Segoe UI" w:cs="Segoe UI"/>
                <w:i w:val="0"/>
                <w:iCs w:val="0"/>
                <w:caps w:val="0"/>
                <w:color w:val="0F1115"/>
                <w:spacing w:val="0"/>
                <w:sz w:val="19"/>
                <w:szCs w:val="19"/>
                <w:shd w:val="clear" w:fill="FFFFFF"/>
              </w:rPr>
              <w:t>聚焦全球航运业的真实案例，将理论与实践紧密结合</w:t>
            </w:r>
            <w:r>
              <w:rPr>
                <w:rFonts w:hint="eastAsia" w:ascii="Segoe UI" w:hAnsi="Segoe UI" w:eastAsia="宋体" w:cs="Segoe UI"/>
                <w:i w:val="0"/>
                <w:iCs w:val="0"/>
                <w:caps w:val="0"/>
                <w:color w:val="0F1115"/>
                <w:spacing w:val="0"/>
                <w:sz w:val="19"/>
                <w:szCs w:val="19"/>
                <w:shd w:val="clear" w:fill="FFFFFF"/>
                <w:lang w:eastAsia="zh-CN"/>
              </w:rPr>
              <w:t>，</w:t>
            </w:r>
            <w:r>
              <w:rPr>
                <w:rFonts w:hint="eastAsia" w:ascii="Segoe UI" w:hAnsi="Segoe UI" w:eastAsia="宋体" w:cs="Segoe UI"/>
                <w:i w:val="0"/>
                <w:iCs w:val="0"/>
                <w:caps w:val="0"/>
                <w:color w:val="0F1115"/>
                <w:spacing w:val="0"/>
                <w:sz w:val="19"/>
                <w:szCs w:val="19"/>
                <w:shd w:val="clear" w:fill="FFFFFF"/>
                <w:lang w:val="en-US" w:eastAsia="zh-CN"/>
              </w:rPr>
              <w:t>如选取</w:t>
            </w:r>
            <w:r>
              <w:rPr>
                <w:rFonts w:ascii="Segoe UI" w:hAnsi="Segoe UI" w:eastAsia="Segoe UI" w:cs="Segoe UI"/>
                <w:i w:val="0"/>
                <w:iCs w:val="0"/>
                <w:caps w:val="0"/>
                <w:color w:val="0F1115"/>
                <w:spacing w:val="0"/>
                <w:sz w:val="19"/>
                <w:szCs w:val="19"/>
                <w:shd w:val="clear" w:fill="FFFFFF"/>
              </w:rPr>
              <w:t>苏伊士运河“长赐号”搁浅事件</w:t>
            </w:r>
            <w:r>
              <w:rPr>
                <w:rFonts w:hint="eastAsia" w:ascii="Segoe UI" w:hAnsi="Segoe UI" w:eastAsia="宋体" w:cs="Segoe UI"/>
                <w:i w:val="0"/>
                <w:iCs w:val="0"/>
                <w:caps w:val="0"/>
                <w:color w:val="0F1115"/>
                <w:spacing w:val="0"/>
                <w:sz w:val="19"/>
                <w:szCs w:val="19"/>
                <w:shd w:val="clear" w:fill="FFFFFF"/>
                <w:lang w:eastAsia="zh-CN"/>
              </w:rPr>
              <w:t>，</w:t>
            </w:r>
            <w:r>
              <w:rPr>
                <w:rFonts w:hint="eastAsia" w:ascii="Segoe UI" w:hAnsi="Segoe UI" w:eastAsia="宋体" w:cs="Segoe UI"/>
                <w:i w:val="0"/>
                <w:iCs w:val="0"/>
                <w:caps w:val="0"/>
                <w:color w:val="0F1115"/>
                <w:spacing w:val="0"/>
                <w:sz w:val="19"/>
                <w:szCs w:val="19"/>
                <w:shd w:val="clear" w:fill="FFFFFF"/>
                <w:lang w:val="en-US" w:eastAsia="zh-CN"/>
              </w:rPr>
              <w:t>引导学生去思考应如何调整航线。</w:t>
            </w:r>
            <w:r>
              <w:rPr>
                <w:rFonts w:ascii="Segoe UI" w:hAnsi="Segoe UI" w:eastAsia="Segoe UI" w:cs="Segoe UI"/>
                <w:i w:val="0"/>
                <w:iCs w:val="0"/>
                <w:caps w:val="0"/>
                <w:color w:val="0F1115"/>
                <w:spacing w:val="0"/>
                <w:sz w:val="19"/>
                <w:szCs w:val="19"/>
                <w:shd w:val="clear" w:fill="FFFFFF"/>
              </w:rPr>
              <w:t>通过对</w:t>
            </w:r>
            <w:r>
              <w:rPr>
                <w:rFonts w:hint="eastAsia" w:ascii="Segoe UI" w:hAnsi="Segoe UI" w:eastAsia="宋体" w:cs="Segoe UI"/>
                <w:i w:val="0"/>
                <w:iCs w:val="0"/>
                <w:caps w:val="0"/>
                <w:color w:val="0F1115"/>
                <w:spacing w:val="0"/>
                <w:sz w:val="19"/>
                <w:szCs w:val="19"/>
                <w:shd w:val="clear" w:fill="FFFFFF"/>
                <w:lang w:val="en-US" w:eastAsia="zh-CN"/>
              </w:rPr>
              <w:t>本门</w:t>
            </w:r>
            <w:r>
              <w:rPr>
                <w:rFonts w:ascii="Segoe UI" w:hAnsi="Segoe UI" w:eastAsia="Segoe UI" w:cs="Segoe UI"/>
                <w:i w:val="0"/>
                <w:iCs w:val="0"/>
                <w:caps w:val="0"/>
                <w:color w:val="0F1115"/>
                <w:spacing w:val="0"/>
                <w:sz w:val="19"/>
                <w:szCs w:val="19"/>
                <w:shd w:val="clear" w:fill="FFFFFF"/>
              </w:rPr>
              <w:t>课</w:t>
            </w:r>
            <w:r>
              <w:rPr>
                <w:rFonts w:hint="eastAsia" w:ascii="Segoe UI" w:hAnsi="Segoe UI" w:eastAsia="宋体" w:cs="Segoe UI"/>
                <w:i w:val="0"/>
                <w:iCs w:val="0"/>
                <w:caps w:val="0"/>
                <w:color w:val="0F1115"/>
                <w:spacing w:val="0"/>
                <w:sz w:val="19"/>
                <w:szCs w:val="19"/>
                <w:shd w:val="clear" w:fill="FFFFFF"/>
                <w:lang w:val="en-US" w:eastAsia="zh-CN"/>
              </w:rPr>
              <w:t>程</w:t>
            </w:r>
            <w:r>
              <w:rPr>
                <w:rFonts w:ascii="Segoe UI" w:hAnsi="Segoe UI" w:eastAsia="Segoe UI" w:cs="Segoe UI"/>
                <w:i w:val="0"/>
                <w:iCs w:val="0"/>
                <w:caps w:val="0"/>
                <w:color w:val="0F1115"/>
                <w:spacing w:val="0"/>
                <w:sz w:val="19"/>
                <w:szCs w:val="19"/>
                <w:shd w:val="clear" w:fill="FFFFFF"/>
              </w:rPr>
              <w:t>的学习，学生可以掌握海运航线布局与智能调度的基本方法，理解智能化管理在航运运营中的实践路径</w:t>
            </w:r>
            <w:r>
              <w:rPr>
                <w:rFonts w:hint="eastAsia" w:ascii="Segoe UI" w:hAnsi="Segoe UI" w:eastAsia="宋体" w:cs="Segoe UI"/>
                <w:i w:val="0"/>
                <w:iCs w:val="0"/>
                <w:caps w:val="0"/>
                <w:color w:val="0F1115"/>
                <w:spacing w:val="0"/>
                <w:sz w:val="19"/>
                <w:szCs w:val="19"/>
                <w:shd w:val="clear" w:fill="FFFFFF"/>
                <w:lang w:eastAsia="zh-CN"/>
              </w:rPr>
              <w:t>。</w:t>
            </w:r>
          </w:p>
        </w:tc>
      </w:tr>
      <w:tr w14:paraId="52906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406DD394">
            <w:pPr>
              <w:jc w:val="center"/>
              <w:rPr>
                <w:rFonts w:ascii="Arial" w:hAnsi="Arial" w:eastAsia="黑体" w:cs="Arial"/>
                <w:szCs w:val="21"/>
              </w:rPr>
            </w:pPr>
            <w:r>
              <w:rPr>
                <w:rFonts w:ascii="Arial" w:hAnsi="Arial" w:eastAsia="黑体" w:cs="Arial"/>
                <w:szCs w:val="21"/>
              </w:rPr>
              <w:t>选课说明</w:t>
            </w:r>
          </w:p>
        </w:tc>
        <w:tc>
          <w:tcPr>
            <w:tcW w:w="7399" w:type="dxa"/>
            <w:gridSpan w:val="2"/>
          </w:tcPr>
          <w:p w14:paraId="40171457"/>
          <w:p w14:paraId="30AB2DB2">
            <w:pPr>
              <w:rPr>
                <w:rFonts w:hint="default" w:eastAsiaTheme="minorEastAsia"/>
                <w:lang w:val="en-US" w:eastAsia="zh-CN"/>
              </w:rPr>
            </w:pPr>
            <w:r>
              <w:rPr>
                <w:rFonts w:hint="eastAsia"/>
                <w:lang w:val="en-US" w:eastAsia="zh-CN"/>
              </w:rPr>
              <w:t>四选一或四选二，需选4学分</w:t>
            </w:r>
          </w:p>
          <w:p w14:paraId="76EA15B4"/>
        </w:tc>
      </w:tr>
    </w:tbl>
    <w:p w14:paraId="3D67880A"/>
    <w:p w14:paraId="29C6729E"/>
    <w:p w14:paraId="6CA0B72B"/>
    <w:p w14:paraId="706BBB89"/>
    <w:p w14:paraId="76833DA5"/>
    <w:p w14:paraId="0084FD2C"/>
    <w:p w14:paraId="17444237"/>
    <w:p w14:paraId="7C0B835D">
      <w:pPr>
        <w:rPr>
          <w:rFonts w:ascii="宋体" w:hAnsi="宋体" w:eastAsia="宋体"/>
          <w:sz w:val="24"/>
          <w:szCs w:val="32"/>
        </w:rPr>
      </w:pPr>
      <w:r>
        <w:rPr>
          <w:rFonts w:hint="eastAsia" w:ascii="宋体" w:hAnsi="宋体" w:eastAsia="宋体"/>
          <w:sz w:val="24"/>
          <w:szCs w:val="32"/>
        </w:rPr>
        <w:t>课程组</w:t>
      </w:r>
      <w:r>
        <w:rPr>
          <w:rFonts w:ascii="宋体" w:hAnsi="宋体" w:eastAsia="宋体"/>
          <w:sz w:val="24"/>
          <w:szCs w:val="32"/>
        </w:rPr>
        <w:t>2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4</w:t>
      </w:r>
      <w:r>
        <w:rPr>
          <w:rFonts w:ascii="Times New Roman" w:hAnsi="Times New Roman" w:eastAsia="宋体" w:cs="Times New Roman"/>
          <w:sz w:val="24"/>
          <w:szCs w:val="32"/>
        </w:rPr>
        <w:t xml:space="preserve">  </w:t>
      </w:r>
      <w:r>
        <w:rPr>
          <w:rFonts w:hint="eastAsia" w:ascii="宋体" w:hAnsi="宋体" w:eastAsia="宋体"/>
          <w:sz w:val="24"/>
          <w:szCs w:val="32"/>
        </w:rPr>
        <w:t>）</w:t>
      </w:r>
      <w:r>
        <w:rPr>
          <w:rFonts w:hint="eastAsia" w:ascii="宋体" w:hAnsi="宋体" w:eastAsia="宋体"/>
          <w:sz w:val="24"/>
          <w:szCs w:val="32"/>
          <w:lang w:val="en-US" w:eastAsia="zh-CN"/>
        </w:rPr>
        <w:t>学</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5EC0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17" w:type="dxa"/>
            <w:vAlign w:val="center"/>
          </w:tcPr>
          <w:p w14:paraId="1D82BB37">
            <w:pPr>
              <w:jc w:val="center"/>
              <w:rPr>
                <w:rFonts w:ascii="黑体" w:hAnsi="黑体" w:eastAsia="黑体"/>
                <w:szCs w:val="21"/>
              </w:rPr>
            </w:pPr>
            <w:r>
              <w:rPr>
                <w:rFonts w:hint="eastAsia" w:ascii="黑体" w:hAnsi="黑体" w:eastAsia="黑体"/>
                <w:szCs w:val="21"/>
              </w:rPr>
              <w:t>课程（代码）</w:t>
            </w:r>
          </w:p>
        </w:tc>
        <w:tc>
          <w:tcPr>
            <w:tcW w:w="646" w:type="dxa"/>
            <w:vAlign w:val="center"/>
          </w:tcPr>
          <w:p w14:paraId="09E7247F">
            <w:pPr>
              <w:jc w:val="center"/>
              <w:rPr>
                <w:rFonts w:ascii="黑体" w:hAnsi="黑体" w:eastAsia="黑体"/>
                <w:szCs w:val="21"/>
              </w:rPr>
            </w:pPr>
            <w:r>
              <w:rPr>
                <w:rFonts w:hint="eastAsia" w:ascii="黑体" w:hAnsi="黑体" w:eastAsia="黑体"/>
                <w:szCs w:val="21"/>
              </w:rPr>
              <w:t>学分</w:t>
            </w:r>
          </w:p>
        </w:tc>
        <w:tc>
          <w:tcPr>
            <w:tcW w:w="6753" w:type="dxa"/>
            <w:vAlign w:val="center"/>
          </w:tcPr>
          <w:p w14:paraId="501865EC">
            <w:pPr>
              <w:jc w:val="center"/>
              <w:rPr>
                <w:rFonts w:ascii="黑体" w:hAnsi="黑体" w:eastAsia="黑体"/>
                <w:szCs w:val="21"/>
              </w:rPr>
            </w:pPr>
            <w:r>
              <w:rPr>
                <w:rFonts w:hint="eastAsia" w:ascii="黑体" w:hAnsi="黑体" w:eastAsia="黑体"/>
                <w:szCs w:val="21"/>
              </w:rPr>
              <w:t>课程简介</w:t>
            </w:r>
          </w:p>
        </w:tc>
      </w:tr>
      <w:tr w14:paraId="4DE8B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617" w:type="dxa"/>
            <w:vAlign w:val="center"/>
          </w:tcPr>
          <w:p w14:paraId="48AAF4DF">
            <w:pPr>
              <w:jc w:val="center"/>
              <w:rPr>
                <w:rFonts w:ascii="Arial" w:hAnsi="Arial" w:eastAsia="黑体" w:cs="Arial"/>
                <w:szCs w:val="21"/>
              </w:rPr>
            </w:pPr>
            <w:r>
              <w:rPr>
                <w:rFonts w:ascii="Arial" w:hAnsi="Arial" w:eastAsia="黑体" w:cs="Arial"/>
                <w:szCs w:val="21"/>
              </w:rPr>
              <w:t>课程A</w:t>
            </w:r>
          </w:p>
          <w:p w14:paraId="33290ABD">
            <w:pPr>
              <w:jc w:val="center"/>
              <w:rPr>
                <w:rFonts w:ascii="Arial" w:hAnsi="Arial" w:eastAsia="黑体" w:cs="Arial"/>
                <w:szCs w:val="21"/>
              </w:rPr>
            </w:pPr>
            <w:r>
              <w:rPr>
                <w:rFonts w:hint="eastAsia" w:ascii="Arial" w:hAnsi="Arial" w:eastAsia="黑体" w:cs="Arial"/>
                <w:szCs w:val="21"/>
                <w:lang w:val="en-US" w:eastAsia="zh-CN"/>
              </w:rPr>
              <w:t>（会计学基础</w:t>
            </w:r>
            <w:r>
              <w:rPr>
                <w:rFonts w:ascii="Arial" w:hAnsi="Arial" w:eastAsia="黑体" w:cs="Arial"/>
                <w:szCs w:val="21"/>
              </w:rPr>
              <w:t>）</w:t>
            </w:r>
          </w:p>
        </w:tc>
        <w:tc>
          <w:tcPr>
            <w:tcW w:w="646" w:type="dxa"/>
            <w:vAlign w:val="center"/>
          </w:tcPr>
          <w:p w14:paraId="538C93AD">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4DEF8AB7">
            <w:pPr>
              <w:rPr>
                <w:rFonts w:hint="eastAsia" w:ascii="宋体" w:hAnsi="宋体" w:eastAsia="宋体"/>
                <w:sz w:val="18"/>
                <w:szCs w:val="21"/>
                <w:lang w:val="en-US" w:eastAsia="zh-CN"/>
              </w:rPr>
            </w:pPr>
            <w:r>
              <w:rPr>
                <w:rFonts w:hint="eastAsia" w:ascii="宋体" w:hAnsi="宋体" w:eastAsia="宋体"/>
                <w:sz w:val="18"/>
                <w:szCs w:val="21"/>
              </w:rPr>
              <w:t>任课教师</w:t>
            </w:r>
            <w:r>
              <w:rPr>
                <w:rFonts w:hint="eastAsia" w:ascii="宋体" w:hAnsi="宋体" w:eastAsia="宋体"/>
                <w:sz w:val="18"/>
                <w:szCs w:val="21"/>
                <w:lang w:eastAsia="zh-CN"/>
              </w:rPr>
              <w:t>：</w:t>
            </w:r>
            <w:r>
              <w:rPr>
                <w:rFonts w:hint="eastAsia" w:ascii="宋体" w:hAnsi="宋体" w:eastAsia="宋体"/>
                <w:sz w:val="18"/>
                <w:szCs w:val="21"/>
                <w:lang w:val="en-US" w:eastAsia="zh-CN"/>
              </w:rPr>
              <w:t>李滨滨，讲师</w:t>
            </w:r>
          </w:p>
          <w:p w14:paraId="22B9A7EE">
            <w:bookmarkStart w:id="3" w:name="OLE_LINK2"/>
            <w:r>
              <w:rPr>
                <w:rFonts w:hint="eastAsia" w:ascii="宋体" w:hAnsi="宋体" w:eastAsia="宋体"/>
                <w:sz w:val="18"/>
                <w:szCs w:val="21"/>
                <w:lang w:val="en-US" w:eastAsia="zh-CN"/>
              </w:rPr>
              <w:t>本课程旨在培养学生掌握会计基本理论、基本方法和基本技能。课程内容涵盖会计基本概念、会计要素、会计科目与账户、复式记账法、会计凭证、会计账簿、财产清查、财务报表等。通过对《会计学基础》这门课的学习，学生可以掌握经济主体的资金活动和基本记账方法，运用复式记账法进行日常经济业务的账务处理，理解各类会计报表，并对日后进一步学习财务相关的课程学习打下坚实的基础。</w:t>
            </w:r>
            <w:bookmarkEnd w:id="3"/>
          </w:p>
        </w:tc>
      </w:tr>
      <w:tr w14:paraId="67FB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423F7DA9">
            <w:pPr>
              <w:jc w:val="center"/>
              <w:rPr>
                <w:rFonts w:hint="eastAsia" w:ascii="Arial" w:hAnsi="Arial" w:eastAsia="黑体" w:cs="Arial"/>
                <w:szCs w:val="21"/>
                <w:lang w:eastAsia="zh-CN"/>
              </w:rPr>
            </w:pPr>
            <w:r>
              <w:rPr>
                <w:rFonts w:ascii="Arial" w:hAnsi="Arial" w:eastAsia="黑体" w:cs="Arial"/>
                <w:szCs w:val="21"/>
              </w:rPr>
              <w:t>课程B</w:t>
            </w:r>
            <w:r>
              <w:rPr>
                <w:rFonts w:hint="eastAsia" w:ascii="Arial" w:hAnsi="Arial" w:eastAsia="黑体" w:cs="Arial"/>
                <w:szCs w:val="21"/>
                <w:lang w:eastAsia="zh-CN"/>
              </w:rPr>
              <w:t>（</w:t>
            </w:r>
            <w:r>
              <w:rPr>
                <w:rFonts w:hint="eastAsia" w:ascii="Arial" w:hAnsi="Arial" w:eastAsia="黑体" w:cs="Arial"/>
                <w:szCs w:val="21"/>
                <w:lang w:val="en-US" w:eastAsia="zh-CN"/>
              </w:rPr>
              <w:t>客户关系管理</w:t>
            </w:r>
            <w:r>
              <w:rPr>
                <w:rFonts w:hint="eastAsia" w:ascii="Arial" w:hAnsi="Arial" w:eastAsia="黑体" w:cs="Arial"/>
                <w:szCs w:val="21"/>
                <w:lang w:eastAsia="zh-CN"/>
              </w:rPr>
              <w:t>）</w:t>
            </w:r>
          </w:p>
        </w:tc>
        <w:tc>
          <w:tcPr>
            <w:tcW w:w="646" w:type="dxa"/>
            <w:vAlign w:val="center"/>
          </w:tcPr>
          <w:p w14:paraId="2F58B3A9">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1BA82E93">
            <w:pPr>
              <w:rPr>
                <w:rFonts w:hint="eastAsia" w:ascii="宋体" w:hAnsi="宋体" w:eastAsia="宋体"/>
                <w:sz w:val="18"/>
                <w:szCs w:val="21"/>
                <w:lang w:val="en-US" w:eastAsia="zh-CN"/>
              </w:rPr>
            </w:pPr>
            <w:r>
              <w:rPr>
                <w:rFonts w:hint="eastAsia" w:ascii="宋体" w:hAnsi="宋体" w:eastAsia="宋体"/>
                <w:sz w:val="18"/>
                <w:szCs w:val="21"/>
                <w:lang w:val="en-US" w:eastAsia="zh-CN"/>
              </w:rPr>
              <w:t>任课教师：潘洪涛，讲师</w:t>
            </w:r>
          </w:p>
          <w:p w14:paraId="63BEEF8F">
            <w:r>
              <w:rPr>
                <w:rFonts w:hint="default" w:ascii="宋体" w:hAnsi="宋体" w:eastAsia="宋体"/>
                <w:sz w:val="18"/>
                <w:szCs w:val="21"/>
                <w:lang w:val="en-US" w:eastAsia="zh-CN"/>
              </w:rPr>
              <w:t>本课程聚焦现代企业如何通过系统化方法识别、获取、维护并提升客户价值。课程内容涵盖客户生命周期管理、客户细分与画像、CRM系统架构、数据驱动的营销策略以及客户满意度与忠诚度评估模型等核心模块。结合国际商务背景，课程特别强调跨文化客户沟通、全球化客户服务体系构建及数字化工具（如Salesforce、HubSpot）在跨境业务中的应用。通过案例研讨、模拟操作与企业嘉宾讲座，学生将掌握从理论到实践的完整CRM能力体系。该课程适合未来有志于从事国际市场营销、客户服务、数字贸易或跨境电商运营的同学选修，不仅有助于提升职场竞争力，也为后续参与企业实习或创业项目奠定坚实基础。</w:t>
            </w:r>
          </w:p>
          <w:p w14:paraId="75266651"/>
        </w:tc>
      </w:tr>
      <w:tr w14:paraId="0C3AE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23305FA6">
            <w:pPr>
              <w:jc w:val="center"/>
              <w:rPr>
                <w:rFonts w:hint="eastAsia" w:ascii="Arial" w:hAnsi="Arial" w:eastAsia="黑体" w:cs="Arial"/>
                <w:szCs w:val="21"/>
                <w:lang w:eastAsia="zh-CN"/>
              </w:rPr>
            </w:pPr>
            <w:r>
              <w:rPr>
                <w:rFonts w:ascii="Arial" w:hAnsi="Arial" w:eastAsia="黑体" w:cs="Arial"/>
                <w:szCs w:val="21"/>
              </w:rPr>
              <w:t>课程C</w:t>
            </w:r>
            <w:r>
              <w:rPr>
                <w:rFonts w:hint="eastAsia" w:ascii="Arial" w:hAnsi="Arial" w:eastAsia="黑体" w:cs="Arial"/>
                <w:szCs w:val="21"/>
                <w:lang w:eastAsia="zh-CN"/>
              </w:rPr>
              <w:t>（AI商务文案写作）</w:t>
            </w:r>
          </w:p>
        </w:tc>
        <w:tc>
          <w:tcPr>
            <w:tcW w:w="646" w:type="dxa"/>
            <w:vAlign w:val="center"/>
          </w:tcPr>
          <w:p w14:paraId="2BBD3D6F">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005813AD">
            <w:pPr>
              <w:rPr>
                <w:rFonts w:hint="default" w:ascii="宋体" w:hAnsi="宋体" w:eastAsia="宋体"/>
                <w:sz w:val="18"/>
                <w:szCs w:val="21"/>
                <w:lang w:val="en-US" w:eastAsia="zh-CN"/>
              </w:rPr>
            </w:pPr>
            <w:r>
              <w:rPr>
                <w:rFonts w:hint="eastAsia" w:ascii="宋体" w:hAnsi="宋体" w:eastAsia="宋体"/>
                <w:sz w:val="18"/>
                <w:szCs w:val="21"/>
                <w:lang w:val="en-US" w:eastAsia="zh-CN"/>
              </w:rPr>
              <w:t>任课教师：</w:t>
            </w:r>
            <w:bookmarkStart w:id="4" w:name="_GoBack"/>
            <w:r>
              <w:rPr>
                <w:rFonts w:hint="eastAsia" w:ascii="宋体" w:hAnsi="宋体" w:eastAsia="宋体"/>
                <w:color w:val="auto"/>
                <w:sz w:val="18"/>
                <w:szCs w:val="21"/>
                <w:lang w:val="en-US" w:eastAsia="zh-CN"/>
              </w:rPr>
              <w:t xml:space="preserve">党松杰 </w:t>
            </w:r>
            <w:bookmarkEnd w:id="4"/>
          </w:p>
          <w:p w14:paraId="5F365CF2">
            <w:pPr>
              <w:rPr>
                <w:rFonts w:hint="default" w:ascii="宋体" w:hAnsi="宋体" w:eastAsia="宋体"/>
                <w:sz w:val="18"/>
                <w:szCs w:val="21"/>
                <w:lang w:val="en-US" w:eastAsia="zh-CN"/>
              </w:rPr>
            </w:pPr>
            <w:r>
              <w:rPr>
                <w:rFonts w:hint="eastAsia" w:ascii="宋体" w:hAnsi="宋体" w:eastAsia="宋体"/>
                <w:sz w:val="18"/>
                <w:szCs w:val="21"/>
                <w:lang w:val="en-US" w:eastAsia="zh-CN"/>
              </w:rPr>
              <w:t>本</w:t>
            </w:r>
            <w:r>
              <w:rPr>
                <w:rFonts w:hint="default" w:ascii="宋体" w:hAnsi="宋体" w:eastAsia="宋体"/>
                <w:sz w:val="18"/>
                <w:szCs w:val="21"/>
                <w:lang w:val="en-US" w:eastAsia="zh-CN"/>
              </w:rPr>
              <w:t>课程以“实操为核心、实用为导向”，摒弃冗余理论堆砌，系统覆盖学习、职场、生活及新媒体类高频应用文，涵盖论文、工作总结、商务函件、通知文案等常用类型。核心围绕AI工具使用、应用文规范、提示词设计三大核心模块，结合教材经典案例，手把手传授实用技巧，同时讲解AI写作误区规避、版权风险防控等关键要点，兼顾内容规范性与实用性。</w:t>
            </w:r>
          </w:p>
          <w:p w14:paraId="254316A1"/>
        </w:tc>
      </w:tr>
      <w:tr w14:paraId="4A8C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8" w:hRule="atLeast"/>
        </w:trPr>
        <w:tc>
          <w:tcPr>
            <w:tcW w:w="1617" w:type="dxa"/>
            <w:vAlign w:val="center"/>
          </w:tcPr>
          <w:p w14:paraId="14A8C2BA">
            <w:pPr>
              <w:jc w:val="center"/>
              <w:rPr>
                <w:rFonts w:hint="default" w:ascii="Arial" w:hAnsi="Arial" w:eastAsia="黑体" w:cs="Arial"/>
                <w:szCs w:val="21"/>
                <w:lang w:val="en-US" w:eastAsia="zh-CN"/>
              </w:rPr>
            </w:pPr>
            <w:r>
              <w:rPr>
                <w:rFonts w:hint="eastAsia" w:ascii="Arial" w:hAnsi="Arial" w:eastAsia="黑体" w:cs="Arial"/>
                <w:szCs w:val="21"/>
                <w:lang w:val="en-US" w:eastAsia="zh-CN"/>
              </w:rPr>
              <w:t>课程D（网页设计与图像处理）</w:t>
            </w:r>
          </w:p>
        </w:tc>
        <w:tc>
          <w:tcPr>
            <w:tcW w:w="646" w:type="dxa"/>
            <w:vAlign w:val="center"/>
          </w:tcPr>
          <w:p w14:paraId="128D0B44">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753" w:type="dxa"/>
          </w:tcPr>
          <w:p w14:paraId="423D8F3E">
            <w:pPr>
              <w:rPr>
                <w:rFonts w:hint="default" w:ascii="宋体" w:hAnsi="宋体" w:eastAsia="宋体"/>
                <w:sz w:val="18"/>
                <w:szCs w:val="21"/>
                <w:lang w:val="en-US" w:eastAsia="zh-CN"/>
              </w:rPr>
            </w:pPr>
            <w:r>
              <w:rPr>
                <w:rFonts w:hint="eastAsia" w:ascii="宋体" w:hAnsi="宋体" w:eastAsia="宋体"/>
                <w:sz w:val="18"/>
                <w:szCs w:val="21"/>
                <w:lang w:val="en-US" w:eastAsia="zh-CN"/>
              </w:rPr>
              <w:t>任课教师：尹静， 副教授</w:t>
            </w:r>
          </w:p>
          <w:p w14:paraId="71731E90">
            <w:r>
              <w:rPr>
                <w:rFonts w:hint="eastAsia" w:ascii="宋体" w:hAnsi="宋体" w:eastAsia="宋体"/>
                <w:sz w:val="18"/>
                <w:szCs w:val="21"/>
                <w:lang w:val="en-US" w:eastAsia="zh-CN"/>
              </w:rPr>
              <w:t>本课程主要掌握网页设计的基础知识，了解</w:t>
            </w:r>
            <w:r>
              <w:rPr>
                <w:rFonts w:hint="default" w:ascii="宋体" w:hAnsi="宋体" w:eastAsia="宋体"/>
                <w:sz w:val="18"/>
                <w:szCs w:val="21"/>
                <w:lang w:val="en-US" w:eastAsia="zh-CN"/>
              </w:rPr>
              <w:t>HTML</w:t>
            </w:r>
            <w:r>
              <w:rPr>
                <w:rFonts w:hint="eastAsia" w:ascii="宋体" w:hAnsi="宋体" w:eastAsia="宋体"/>
                <w:sz w:val="18"/>
                <w:szCs w:val="21"/>
                <w:lang w:val="en-US" w:eastAsia="zh-CN"/>
              </w:rPr>
              <w:t>超文本标记语言的结构和常用标记，</w:t>
            </w:r>
            <w:r>
              <w:rPr>
                <w:rFonts w:hint="default" w:ascii="宋体" w:hAnsi="宋体" w:eastAsia="宋体"/>
                <w:sz w:val="18"/>
                <w:szCs w:val="21"/>
                <w:lang w:val="en-US" w:eastAsia="zh-CN"/>
              </w:rPr>
              <w:t>掌握通过Dreamweaver</w:t>
            </w:r>
            <w:r>
              <w:rPr>
                <w:rFonts w:hint="eastAsia" w:ascii="宋体" w:hAnsi="宋体" w:eastAsia="宋体"/>
                <w:sz w:val="18"/>
                <w:szCs w:val="21"/>
                <w:lang w:val="en-US" w:eastAsia="zh-CN"/>
              </w:rPr>
              <w:t>管理站点</w:t>
            </w:r>
            <w:r>
              <w:rPr>
                <w:rFonts w:hint="default" w:ascii="宋体" w:hAnsi="宋体" w:eastAsia="宋体"/>
                <w:sz w:val="18"/>
                <w:szCs w:val="21"/>
                <w:lang w:val="en-US" w:eastAsia="zh-CN"/>
              </w:rPr>
              <w:t>和编辑网页的</w:t>
            </w:r>
            <w:r>
              <w:rPr>
                <w:rFonts w:hint="eastAsia" w:ascii="宋体" w:hAnsi="宋体" w:eastAsia="宋体"/>
                <w:sz w:val="18"/>
                <w:szCs w:val="21"/>
                <w:lang w:val="en-US" w:eastAsia="zh-CN"/>
              </w:rPr>
              <w:t>方法；掌握使用Photoshop处理网页图像素材的方法</w:t>
            </w:r>
            <w:r>
              <w:rPr>
                <w:rFonts w:hint="default" w:ascii="宋体" w:hAnsi="宋体" w:eastAsia="宋体"/>
                <w:sz w:val="18"/>
                <w:szCs w:val="21"/>
                <w:lang w:val="en-US" w:eastAsia="zh-CN"/>
              </w:rPr>
              <w:t>。</w:t>
            </w:r>
            <w:r>
              <w:rPr>
                <w:rFonts w:hint="eastAsia" w:ascii="宋体" w:hAnsi="宋体" w:eastAsia="宋体"/>
                <w:sz w:val="18"/>
                <w:szCs w:val="21"/>
                <w:lang w:val="en-US" w:eastAsia="zh-CN"/>
              </w:rPr>
              <w:t>通过案例+实验的教学方法让学生提高动手能力，熟练掌握常用网页制作工具以及网页素材处理的基本方法。</w:t>
            </w:r>
          </w:p>
        </w:tc>
      </w:tr>
      <w:tr w14:paraId="0142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66833A12">
            <w:pPr>
              <w:jc w:val="center"/>
              <w:rPr>
                <w:rFonts w:ascii="Arial" w:hAnsi="Arial" w:eastAsia="黑体" w:cs="Arial"/>
                <w:szCs w:val="21"/>
              </w:rPr>
            </w:pPr>
            <w:r>
              <w:rPr>
                <w:rFonts w:ascii="Arial" w:hAnsi="Arial" w:eastAsia="黑体" w:cs="Arial"/>
                <w:szCs w:val="21"/>
              </w:rPr>
              <w:t>选课说明</w:t>
            </w:r>
          </w:p>
        </w:tc>
        <w:tc>
          <w:tcPr>
            <w:tcW w:w="7399" w:type="dxa"/>
            <w:gridSpan w:val="2"/>
          </w:tcPr>
          <w:p w14:paraId="4014FCD3"/>
          <w:p w14:paraId="3C029F05">
            <w:pPr>
              <w:rPr>
                <w:rFonts w:hint="default" w:eastAsiaTheme="minorEastAsia"/>
                <w:lang w:val="en-US" w:eastAsia="zh-CN"/>
              </w:rPr>
            </w:pPr>
            <w:r>
              <w:rPr>
                <w:rFonts w:hint="eastAsia"/>
                <w:lang w:val="en-US" w:eastAsia="zh-CN"/>
              </w:rPr>
              <w:t>四选二，需选4学分，建议选课程A+课程B或课程C+课程D</w:t>
            </w:r>
          </w:p>
          <w:p w14:paraId="49B46DA1"/>
        </w:tc>
      </w:tr>
    </w:tbl>
    <w:p w14:paraId="3FC503A0"/>
    <w:p w14:paraId="2124A824"/>
    <w:p w14:paraId="4EC7F68F">
      <w:pPr>
        <w:pStyle w:val="11"/>
        <w:rPr>
          <w:rFonts w:ascii="宋体" w:hAnsi="宋体" w:eastAsia="宋体"/>
        </w:rPr>
      </w:pPr>
      <w:r>
        <w:rPr>
          <w:rFonts w:hint="eastAsia" w:ascii="宋体" w:hAnsi="宋体" w:eastAsia="宋体"/>
        </w:rPr>
        <w:t>说明：</w:t>
      </w:r>
    </w:p>
    <w:p w14:paraId="12AF4C00">
      <w:pPr>
        <w:pStyle w:val="11"/>
        <w:rPr>
          <w:rFonts w:ascii="宋体" w:hAnsi="宋体" w:eastAsia="宋体"/>
        </w:rPr>
      </w:pPr>
      <w:r>
        <w:rPr>
          <w:rFonts w:hint="eastAsia" w:ascii="宋体" w:hAnsi="宋体" w:eastAsia="宋体"/>
        </w:rPr>
        <w:t>1</w:t>
      </w:r>
      <w:r>
        <w:rPr>
          <w:rFonts w:ascii="宋体" w:hAnsi="宋体" w:eastAsia="宋体"/>
        </w:rPr>
        <w:t xml:space="preserve">. </w:t>
      </w:r>
      <w:r>
        <w:rPr>
          <w:rFonts w:hint="eastAsia" w:ascii="宋体" w:hAnsi="宋体" w:eastAsia="宋体"/>
        </w:rPr>
        <w:t>表格不足可以自行补充</w:t>
      </w:r>
    </w:p>
    <w:p w14:paraId="6C5324D8">
      <w:pPr>
        <w:pStyle w:val="11"/>
        <w:rPr>
          <w:rFonts w:ascii="宋体" w:hAnsi="宋体" w:eastAsia="宋体"/>
        </w:rPr>
      </w:pPr>
      <w:r>
        <w:rPr>
          <w:rFonts w:hint="eastAsia" w:ascii="宋体" w:hAnsi="宋体" w:eastAsia="宋体"/>
        </w:rPr>
        <w:t>2</w:t>
      </w:r>
      <w:r>
        <w:rPr>
          <w:rFonts w:ascii="宋体" w:hAnsi="宋体" w:eastAsia="宋体"/>
        </w:rPr>
        <w:t xml:space="preserve">. </w:t>
      </w:r>
      <w:r>
        <w:rPr>
          <w:rFonts w:hint="eastAsia" w:ascii="宋体" w:hAnsi="宋体" w:eastAsia="宋体"/>
        </w:rPr>
        <w:t>本表格在确认专业选修选课模式的阶段填写</w:t>
      </w:r>
    </w:p>
    <w:p w14:paraId="04920AD0">
      <w:pPr>
        <w:pStyle w:val="11"/>
        <w:rPr>
          <w:rFonts w:ascii="宋体" w:hAnsi="宋体" w:eastAsia="宋体"/>
        </w:rPr>
      </w:pPr>
      <w:r>
        <w:rPr>
          <w:rFonts w:ascii="宋体" w:hAnsi="宋体" w:eastAsia="宋体"/>
        </w:rPr>
        <w:t>3.</w:t>
      </w:r>
      <w:r>
        <w:rPr>
          <w:rFonts w:hint="eastAsia" w:ascii="宋体" w:hAnsi="宋体" w:eastAsia="宋体"/>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4ODhmZGFkNzBiMjNkMDRmNDE3OWRlNjc2MTg4MWEifQ=="/>
  </w:docVars>
  <w:rsids>
    <w:rsidRoot w:val="00715302"/>
    <w:rsid w:val="0000406C"/>
    <w:rsid w:val="000053BD"/>
    <w:rsid w:val="000253C5"/>
    <w:rsid w:val="000528C9"/>
    <w:rsid w:val="000B5EC4"/>
    <w:rsid w:val="00134494"/>
    <w:rsid w:val="0014026B"/>
    <w:rsid w:val="001A71FE"/>
    <w:rsid w:val="001B4AE0"/>
    <w:rsid w:val="001B552E"/>
    <w:rsid w:val="001B5C78"/>
    <w:rsid w:val="00212BB2"/>
    <w:rsid w:val="002359B5"/>
    <w:rsid w:val="002850AC"/>
    <w:rsid w:val="002B7D9F"/>
    <w:rsid w:val="002C5F95"/>
    <w:rsid w:val="002D462A"/>
    <w:rsid w:val="002D5B5B"/>
    <w:rsid w:val="002F532B"/>
    <w:rsid w:val="003566C7"/>
    <w:rsid w:val="00396D1C"/>
    <w:rsid w:val="003C6F27"/>
    <w:rsid w:val="003E0B2A"/>
    <w:rsid w:val="003F6662"/>
    <w:rsid w:val="00412C1A"/>
    <w:rsid w:val="00432C8B"/>
    <w:rsid w:val="004812E4"/>
    <w:rsid w:val="0048514A"/>
    <w:rsid w:val="00486655"/>
    <w:rsid w:val="00491C93"/>
    <w:rsid w:val="004A42EA"/>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318CC"/>
    <w:rsid w:val="00786E78"/>
    <w:rsid w:val="00797170"/>
    <w:rsid w:val="007A1E94"/>
    <w:rsid w:val="007C5FFD"/>
    <w:rsid w:val="007E15B2"/>
    <w:rsid w:val="00843979"/>
    <w:rsid w:val="00847AC5"/>
    <w:rsid w:val="0088311C"/>
    <w:rsid w:val="008B73F7"/>
    <w:rsid w:val="008F73D3"/>
    <w:rsid w:val="00923BBF"/>
    <w:rsid w:val="00971E15"/>
    <w:rsid w:val="00994576"/>
    <w:rsid w:val="009A3F3E"/>
    <w:rsid w:val="009C483A"/>
    <w:rsid w:val="00A00290"/>
    <w:rsid w:val="00A338B1"/>
    <w:rsid w:val="00A812B9"/>
    <w:rsid w:val="00A96D0C"/>
    <w:rsid w:val="00AB046E"/>
    <w:rsid w:val="00AF1B95"/>
    <w:rsid w:val="00AF6601"/>
    <w:rsid w:val="00B021F1"/>
    <w:rsid w:val="00B151A4"/>
    <w:rsid w:val="00B35B6A"/>
    <w:rsid w:val="00B45F81"/>
    <w:rsid w:val="00B7295C"/>
    <w:rsid w:val="00B766A2"/>
    <w:rsid w:val="00BD25AC"/>
    <w:rsid w:val="00BF6ADF"/>
    <w:rsid w:val="00C04247"/>
    <w:rsid w:val="00C549E4"/>
    <w:rsid w:val="00CE1D67"/>
    <w:rsid w:val="00CE5AB6"/>
    <w:rsid w:val="00D102EB"/>
    <w:rsid w:val="00D17776"/>
    <w:rsid w:val="00D17E84"/>
    <w:rsid w:val="00D366A1"/>
    <w:rsid w:val="00D670B3"/>
    <w:rsid w:val="00DA1023"/>
    <w:rsid w:val="00DE22B3"/>
    <w:rsid w:val="00DF6F32"/>
    <w:rsid w:val="00E02480"/>
    <w:rsid w:val="00E45197"/>
    <w:rsid w:val="00E64B15"/>
    <w:rsid w:val="00F15EED"/>
    <w:rsid w:val="00F45671"/>
    <w:rsid w:val="00F86228"/>
    <w:rsid w:val="00FF3F9A"/>
    <w:rsid w:val="06EE373B"/>
    <w:rsid w:val="0A0B7A67"/>
    <w:rsid w:val="111E1654"/>
    <w:rsid w:val="14887A48"/>
    <w:rsid w:val="268A15AF"/>
    <w:rsid w:val="2C590577"/>
    <w:rsid w:val="563732AD"/>
    <w:rsid w:val="5B9C4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9"/>
    <w:unhideWhenUsed/>
    <w:qFormat/>
    <w:uiPriority w:val="99"/>
    <w:pPr>
      <w:tabs>
        <w:tab w:val="center" w:pos="4153"/>
        <w:tab w:val="right" w:pos="8306"/>
      </w:tabs>
      <w:snapToGrid w:val="0"/>
      <w:jc w:val="left"/>
    </w:pPr>
    <w:rPr>
      <w:sz w:val="18"/>
      <w:szCs w:val="18"/>
    </w:rPr>
  </w:style>
  <w:style w:type="paragraph" w:styleId="12">
    <w:name w:val="header"/>
    <w:basedOn w:val="1"/>
    <w:link w:val="4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sz w:val="24"/>
    </w:rPr>
  </w:style>
  <w:style w:type="paragraph" w:styleId="15">
    <w:name w:val="Title"/>
    <w:basedOn w:val="1"/>
    <w:next w:val="1"/>
    <w:link w:val="4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qFormat/>
    <w:uiPriority w:val="34"/>
    <w:pPr>
      <w:ind w:firstLine="420" w:firstLineChars="200"/>
    </w:pPr>
  </w:style>
  <w:style w:type="paragraph" w:customStyle="1" w:styleId="21">
    <w:name w:val="正文说明XXX"/>
    <w:basedOn w:val="19"/>
    <w:qFormat/>
    <w:uiPriority w:val="0"/>
    <w:pPr>
      <w:ind w:left="200" w:hanging="200" w:hangingChars="200"/>
    </w:pPr>
  </w:style>
  <w:style w:type="paragraph" w:customStyle="1" w:styleId="22">
    <w:name w:val="一级标题XXX"/>
    <w:basedOn w:val="5"/>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semiHidden/>
    <w:qFormat/>
    <w:uiPriority w:val="9"/>
    <w:rPr>
      <w:rFonts w:asciiTheme="majorHAnsi" w:hAnsiTheme="majorHAnsi" w:eastAsiaTheme="majorEastAsia" w:cstheme="majorBidi"/>
      <w:b/>
      <w:bCs/>
      <w:sz w:val="28"/>
      <w:szCs w:val="28"/>
    </w:rPr>
  </w:style>
  <w:style w:type="paragraph" w:customStyle="1" w:styleId="24">
    <w:name w:val="ISO二级标题"/>
    <w:basedOn w:val="19"/>
    <w:next w:val="19"/>
    <w:qFormat/>
    <w:uiPriority w:val="0"/>
    <w:rPr>
      <w:b/>
    </w:rPr>
  </w:style>
  <w:style w:type="paragraph" w:customStyle="1" w:styleId="25">
    <w:name w:val="ISO一级标题"/>
    <w:basedOn w:val="1"/>
    <w:next w:val="1"/>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qFormat/>
    <w:uiPriority w:val="0"/>
    <w:pPr>
      <w:snapToGrid w:val="0"/>
      <w:jc w:val="center"/>
    </w:pPr>
    <w:rPr>
      <w:rFonts w:ascii="Arial" w:hAnsi="Arial" w:eastAsia="黑体" w:cs="Times New Roman"/>
      <w:bCs/>
      <w:color w:val="000000"/>
      <w:szCs w:val="20"/>
    </w:rPr>
  </w:style>
  <w:style w:type="paragraph" w:customStyle="1" w:styleId="27">
    <w:name w:val="一级标题"/>
    <w:basedOn w:val="1"/>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semiHidden/>
    <w:qFormat/>
    <w:uiPriority w:val="9"/>
    <w:rPr>
      <w:rFonts w:cstheme="majorBidi"/>
      <w:color w:val="104862" w:themeColor="accent1" w:themeShade="BF"/>
      <w:sz w:val="24"/>
    </w:rPr>
  </w:style>
  <w:style w:type="character" w:customStyle="1" w:styleId="36">
    <w:name w:val="标题 6 字符"/>
    <w:basedOn w:val="18"/>
    <w:link w:val="7"/>
    <w:semiHidden/>
    <w:qFormat/>
    <w:uiPriority w:val="9"/>
    <w:rPr>
      <w:rFonts w:cstheme="majorBidi"/>
      <w:b/>
      <w:bCs/>
      <w:color w:val="104862" w:themeColor="accent1" w:themeShade="BF"/>
    </w:rPr>
  </w:style>
  <w:style w:type="character" w:customStyle="1" w:styleId="3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qFormat/>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Intense Emphasis"/>
    <w:basedOn w:val="18"/>
    <w:qFormat/>
    <w:uiPriority w:val="21"/>
    <w:rPr>
      <w:i/>
      <w:iCs/>
      <w:color w:val="104862" w:themeColor="accent1" w:themeShade="BF"/>
    </w:rPr>
  </w:style>
  <w:style w:type="paragraph" w:styleId="45">
    <w:name w:val="Intense Quote"/>
    <w:basedOn w:val="1"/>
    <w:next w:val="1"/>
    <w:link w:val="4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qFormat/>
    <w:uiPriority w:val="30"/>
    <w:rPr>
      <w:i/>
      <w:iCs/>
      <w:color w:val="104862" w:themeColor="accent1" w:themeShade="BF"/>
    </w:rPr>
  </w:style>
  <w:style w:type="character" w:customStyle="1" w:styleId="47">
    <w:name w:val="Intense Reference"/>
    <w:basedOn w:val="18"/>
    <w:qFormat/>
    <w:uiPriority w:val="32"/>
    <w:rPr>
      <w:b/>
      <w:bCs/>
      <w:smallCaps/>
      <w:color w:val="104862" w:themeColor="accent1" w:themeShade="BF"/>
      <w:spacing w:val="5"/>
    </w:rPr>
  </w:style>
  <w:style w:type="character" w:customStyle="1" w:styleId="48">
    <w:name w:val="页眉 字符"/>
    <w:basedOn w:val="18"/>
    <w:link w:val="12"/>
    <w:qFormat/>
    <w:uiPriority w:val="99"/>
    <w:rPr>
      <w:sz w:val="18"/>
      <w:szCs w:val="18"/>
    </w:rPr>
  </w:style>
  <w:style w:type="character" w:customStyle="1" w:styleId="49">
    <w:name w:val="页脚 字符"/>
    <w:basedOn w:val="18"/>
    <w:link w:val="11"/>
    <w:qFormat/>
    <w:uiPriority w:val="99"/>
    <w:rPr>
      <w:sz w:val="18"/>
      <w:szCs w:val="18"/>
    </w:rPr>
  </w:style>
  <w:style w:type="paragraph" w:customStyle="1" w:styleId="50">
    <w:name w:val="表格正文DG"/>
    <w:basedOn w:val="1"/>
    <w:qFormat/>
    <w:uiPriority w:val="0"/>
    <w:pPr>
      <w:jc w:val="center"/>
    </w:pPr>
    <w:rPr>
      <w:rFonts w:ascii="Times New Roman" w:hAnsi="Times New Roman"/>
      <w:color w:val="00000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1847</Words>
  <Characters>1912</Characters>
  <Lines>2</Lines>
  <Paragraphs>1</Paragraphs>
  <TotalTime>13</TotalTime>
  <ScaleCrop>false</ScaleCrop>
  <LinksUpToDate>false</LinksUpToDate>
  <CharactersWithSpaces>1945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2026-03-10T02:23:00Z</dcterms:created>
  <dc:creator>孙鹏</dc:creator>
  <cp:lastModifiedBy>汪敏</cp:lastModifiedBy>
  <dcterms:modified xsi:type="dcterms:W3CDTF">2026-04-01T03:04:05Z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eyJoZGlkIjoiNzQxOGU1NDBmMjA2NTQ4NWNlYzdmYTk5NWU3ZDE0YjgiLCJ1c2VySWQiOiI2NDk1MzA5MzAifQ==</vt:lpwstr>
  </property>
  <property fmtid="{D5CDD505-2E9C-101B-9397-08002B2CF9AE}" pid="3" name="KSOProductBuildVer">
    <vt:lpwstr>2052-12.1.0.25225</vt:lpwstr>
  </property>
  <property fmtid="{D5CDD505-2E9C-101B-9397-08002B2CF9AE}" pid="4" name="ICV">
    <vt:lpwstr>221FF452A9214104949388F9E5374D50_12</vt:lpwstr>
  </property>
</Properties>
</file>