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A9F6">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26925F2A">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026-2027</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hint="eastAsia" w:ascii="黑体" w:hAnsi="黑体" w:eastAsia="黑体"/>
          <w:sz w:val="24"/>
          <w:szCs w:val="32"/>
          <w:u w:val="single"/>
          <w:lang w:val="en-US" w:eastAsia="zh-CN"/>
        </w:rPr>
        <w:t>职业技术</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hint="eastAsia" w:ascii="黑体" w:hAnsi="黑体" w:eastAsia="黑体"/>
          <w:sz w:val="24"/>
          <w:szCs w:val="32"/>
          <w:u w:val="single"/>
          <w:lang w:val="en-US" w:eastAsia="zh-CN"/>
        </w:rPr>
        <w:t>机电一体化技术</w:t>
      </w:r>
      <w:r>
        <w:rPr>
          <w:rFonts w:ascii="黑体" w:hAnsi="黑体" w:eastAsia="黑体"/>
          <w:sz w:val="24"/>
          <w:szCs w:val="32"/>
          <w:u w:val="single"/>
        </w:rPr>
        <w:t xml:space="preserve"> </w:t>
      </w:r>
      <w:r>
        <w:rPr>
          <w:rFonts w:hint="eastAsia" w:ascii="黑体" w:hAnsi="黑体" w:eastAsia="黑体"/>
          <w:sz w:val="24"/>
          <w:szCs w:val="32"/>
        </w:rPr>
        <w:t>专业</w:t>
      </w:r>
    </w:p>
    <w:p w14:paraId="00B8F90F"/>
    <w:p w14:paraId="76F3AD7D">
      <w:pPr>
        <w:rPr>
          <w:rFonts w:ascii="宋体" w:hAnsi="宋体" w:eastAsia="宋体"/>
          <w:sz w:val="24"/>
          <w:szCs w:val="32"/>
        </w:rPr>
      </w:pPr>
      <w:r>
        <w:rPr>
          <w:rFonts w:hint="eastAsia" w:ascii="宋体" w:hAnsi="宋体" w:eastAsia="宋体"/>
          <w:sz w:val="24"/>
          <w:szCs w:val="32"/>
        </w:rPr>
        <w:t>课程组1</w:t>
      </w:r>
      <w:r>
        <w:rPr>
          <w:rFonts w:hint="eastAsia" w:ascii="宋体" w:hAnsi="宋体" w:eastAsia="宋体"/>
          <w:sz w:val="24"/>
          <w:szCs w:val="32"/>
          <w:lang w:eastAsia="zh-CN"/>
        </w:rPr>
        <w:t>、</w:t>
      </w:r>
      <w:r>
        <w:rPr>
          <w:rFonts w:hint="eastAsia" w:ascii="宋体" w:hAnsi="宋体" w:eastAsia="宋体"/>
          <w:sz w:val="24"/>
          <w:szCs w:val="32"/>
          <w:lang w:val="en-US" w:eastAsia="zh-CN"/>
        </w:rPr>
        <w:t>2</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924"/>
        <w:gridCol w:w="6392"/>
      </w:tblGrid>
      <w:tr w14:paraId="63D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26" w:type="dxa"/>
            <w:vAlign w:val="center"/>
          </w:tcPr>
          <w:p w14:paraId="400B76CF">
            <w:pPr>
              <w:jc w:val="center"/>
              <w:rPr>
                <w:rFonts w:ascii="黑体" w:hAnsi="黑体" w:eastAsia="黑体"/>
                <w:szCs w:val="21"/>
              </w:rPr>
            </w:pPr>
            <w:r>
              <w:rPr>
                <w:rFonts w:hint="eastAsia" w:ascii="黑体" w:hAnsi="黑体" w:eastAsia="黑体"/>
                <w:szCs w:val="21"/>
              </w:rPr>
              <w:t>课程（代码）</w:t>
            </w:r>
          </w:p>
        </w:tc>
        <w:tc>
          <w:tcPr>
            <w:tcW w:w="924" w:type="dxa"/>
            <w:vAlign w:val="center"/>
          </w:tcPr>
          <w:p w14:paraId="12D9C1B0">
            <w:pPr>
              <w:jc w:val="center"/>
              <w:rPr>
                <w:rFonts w:ascii="黑体" w:hAnsi="黑体" w:eastAsia="黑体"/>
                <w:szCs w:val="21"/>
              </w:rPr>
            </w:pPr>
            <w:r>
              <w:rPr>
                <w:rFonts w:hint="eastAsia" w:ascii="黑体" w:hAnsi="黑体" w:eastAsia="黑体"/>
                <w:szCs w:val="21"/>
              </w:rPr>
              <w:t>学分</w:t>
            </w:r>
          </w:p>
        </w:tc>
        <w:tc>
          <w:tcPr>
            <w:tcW w:w="6392" w:type="dxa"/>
            <w:vAlign w:val="center"/>
          </w:tcPr>
          <w:p w14:paraId="46E83249">
            <w:pPr>
              <w:jc w:val="center"/>
              <w:rPr>
                <w:rFonts w:ascii="黑体" w:hAnsi="黑体" w:eastAsia="黑体"/>
                <w:szCs w:val="21"/>
              </w:rPr>
            </w:pPr>
            <w:r>
              <w:rPr>
                <w:rFonts w:hint="eastAsia" w:ascii="黑体" w:hAnsi="黑体" w:eastAsia="黑体"/>
                <w:szCs w:val="21"/>
              </w:rPr>
              <w:t>课程简介</w:t>
            </w:r>
          </w:p>
        </w:tc>
      </w:tr>
      <w:tr w14:paraId="557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505AD2BD">
            <w:pPr>
              <w:jc w:val="center"/>
              <w:rPr>
                <w:rFonts w:ascii="Arial" w:hAnsi="Arial" w:eastAsia="黑体" w:cs="Arial"/>
                <w:szCs w:val="21"/>
              </w:rPr>
            </w:pPr>
            <w:r>
              <w:rPr>
                <w:rFonts w:hint="eastAsia" w:ascii="Arial" w:hAnsi="Arial" w:eastAsia="黑体" w:cs="Arial"/>
                <w:szCs w:val="21"/>
                <w:lang w:val="en-US" w:eastAsia="zh-CN"/>
              </w:rPr>
              <w:t>数控机床应用</w:t>
            </w:r>
            <w:r>
              <w:rPr>
                <w:rFonts w:ascii="Arial" w:hAnsi="Arial" w:eastAsia="黑体" w:cs="Arial"/>
                <w:szCs w:val="21"/>
              </w:rPr>
              <w:t>（</w:t>
            </w:r>
            <w:r>
              <w:rPr>
                <w:rFonts w:hint="eastAsia" w:ascii="Arial" w:hAnsi="Arial" w:eastAsia="黑体" w:cs="Arial"/>
                <w:szCs w:val="21"/>
                <w:lang w:val="en-US" w:eastAsia="zh-CN"/>
              </w:rPr>
              <w:t>0010246</w:t>
            </w:r>
            <w:r>
              <w:rPr>
                <w:rFonts w:ascii="Arial" w:hAnsi="Arial" w:eastAsia="黑体" w:cs="Arial"/>
                <w:szCs w:val="21"/>
              </w:rPr>
              <w:t>）</w:t>
            </w:r>
          </w:p>
        </w:tc>
        <w:tc>
          <w:tcPr>
            <w:tcW w:w="924" w:type="dxa"/>
            <w:vAlign w:val="center"/>
          </w:tcPr>
          <w:p w14:paraId="47538376">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392" w:type="dxa"/>
          </w:tcPr>
          <w:p w14:paraId="191AE397">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孟富森，男，高级工程师，数控机床研究生</w:t>
            </w:r>
          </w:p>
          <w:p w14:paraId="69E727CC">
            <w:r>
              <w:rPr>
                <w:rFonts w:hint="default" w:ascii="Times New Roman" w:hAnsi="Times New Roman" w:eastAsia="黑体" w:cs="Times New Roman"/>
                <w:sz w:val="21"/>
                <w:szCs w:val="21"/>
              </w:rPr>
              <w:t>本课程是机电一体化专业方向必修课，通过本课程的学习，可以使学生了解数控机床的组成原理，理解数控系统功能和插补原理，掌握机床数控系统与可编程控制器、变频器、伺服驱动装置、伺服电机之间的集成方法，与机械系统部件的安装调整，掌握数控机床的运行维护等基本知识和技能，为从事数控设备的操作运行和维护管理工作打下坚实基础。本课程的主要任务是使学生了解机床数控系统功能和主传动系统和伺服进给系统的控制要求；理解直线、圆弧插补和刀具补偿原理；掌握机床信号传递及硬件连接方法和主要部件的调整方法，学会正确使用数控机床，并具备一定的维护能力。</w:t>
            </w:r>
          </w:p>
        </w:tc>
      </w:tr>
      <w:tr w14:paraId="4D11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7AD71808">
            <w:pPr>
              <w:jc w:val="center"/>
              <w:rPr>
                <w:rFonts w:ascii="Arial" w:hAnsi="Arial" w:eastAsia="黑体" w:cs="Arial"/>
                <w:szCs w:val="21"/>
              </w:rPr>
            </w:pPr>
            <w:r>
              <w:rPr>
                <w:rFonts w:hint="eastAsia" w:ascii="Arial" w:hAnsi="Arial" w:eastAsia="黑体" w:cs="Arial"/>
                <w:szCs w:val="21"/>
                <w:lang w:val="en-US" w:eastAsia="zh-CN"/>
              </w:rPr>
              <w:t>传感器应用技术</w:t>
            </w:r>
            <w:r>
              <w:rPr>
                <w:rFonts w:ascii="Arial" w:hAnsi="Arial" w:eastAsia="黑体" w:cs="Arial"/>
                <w:szCs w:val="21"/>
              </w:rPr>
              <w:t>（</w:t>
            </w:r>
            <w:r>
              <w:rPr>
                <w:rFonts w:hint="eastAsia" w:ascii="Arial" w:hAnsi="Arial" w:eastAsia="黑体" w:cs="Arial"/>
                <w:szCs w:val="21"/>
                <w:lang w:val="en-US" w:eastAsia="zh-CN"/>
              </w:rPr>
              <w:t>0010279</w:t>
            </w:r>
            <w:r>
              <w:rPr>
                <w:rFonts w:ascii="Arial" w:hAnsi="Arial" w:eastAsia="黑体" w:cs="Arial"/>
                <w:szCs w:val="21"/>
              </w:rPr>
              <w:t>）</w:t>
            </w:r>
          </w:p>
        </w:tc>
        <w:tc>
          <w:tcPr>
            <w:tcW w:w="924" w:type="dxa"/>
            <w:vAlign w:val="center"/>
          </w:tcPr>
          <w:p w14:paraId="28C1E052">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392" w:type="dxa"/>
          </w:tcPr>
          <w:p w14:paraId="4B6FA598">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张北平，男，教授，交通运输专业研究生</w:t>
            </w:r>
          </w:p>
          <w:p w14:paraId="30C7758B">
            <w:r>
              <w:rPr>
                <w:rFonts w:hint="eastAsia" w:ascii="Times New Roman" w:hAnsi="Times New Roman" w:eastAsia="黑体" w:cs="Times New Roman"/>
                <w:sz w:val="21"/>
                <w:szCs w:val="21"/>
                <w:lang w:val="en-US" w:eastAsia="zh-CN"/>
              </w:rPr>
              <w:t>课程</w:t>
            </w:r>
            <w:r>
              <w:rPr>
                <w:rFonts w:hint="default" w:ascii="Times New Roman" w:hAnsi="Times New Roman" w:eastAsia="黑体" w:cs="Times New Roman"/>
                <w:sz w:val="21"/>
                <w:szCs w:val="21"/>
                <w:lang w:val="en-US" w:eastAsia="zh-CN"/>
              </w:rPr>
              <w:t>主要讲授传感器技术的基本概念、特性、作用及发展趋势。学生将学习各种常用传感器的基本结构、性能、工作原理和测量电路，掌握传感器的选用原则与方法。课程内容还包括典型非电量（如温度、湿度、气体、力、液位、流量、位移和速度等）的检测应用实例。通过学习，学生能够掌握常用传感器与自动检测的原理、控制线路的基本环节、典型线路的原理以及信号处理线路，同时具备一般传感器与转换技术的原理理解、结构组成认识、安装调试及信号处理能力。</w:t>
            </w:r>
          </w:p>
        </w:tc>
      </w:tr>
      <w:tr w14:paraId="6C8A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4690AFB3">
            <w:pPr>
              <w:jc w:val="center"/>
              <w:rPr>
                <w:rFonts w:ascii="Arial" w:hAnsi="Arial" w:eastAsia="黑体" w:cs="Arial"/>
                <w:szCs w:val="21"/>
              </w:rPr>
            </w:pPr>
            <w:r>
              <w:rPr>
                <w:rFonts w:hint="eastAsia" w:ascii="Arial" w:hAnsi="Arial" w:eastAsia="黑体" w:cs="Arial"/>
                <w:szCs w:val="21"/>
                <w:lang w:val="en-US" w:eastAsia="zh-CN"/>
              </w:rPr>
              <w:t>物联网技术</w:t>
            </w:r>
            <w:r>
              <w:rPr>
                <w:rFonts w:ascii="Arial" w:hAnsi="Arial" w:eastAsia="黑体" w:cs="Arial"/>
                <w:szCs w:val="21"/>
              </w:rPr>
              <w:t>（</w:t>
            </w:r>
            <w:r>
              <w:rPr>
                <w:rFonts w:hint="eastAsia" w:ascii="Arial" w:hAnsi="Arial" w:eastAsia="黑体" w:cs="Arial"/>
                <w:szCs w:val="21"/>
                <w:lang w:val="en-US" w:eastAsia="zh-CN"/>
              </w:rPr>
              <w:t>0050176</w:t>
            </w:r>
            <w:r>
              <w:rPr>
                <w:rFonts w:ascii="Arial" w:hAnsi="Arial" w:eastAsia="黑体" w:cs="Arial"/>
                <w:szCs w:val="21"/>
              </w:rPr>
              <w:t>）</w:t>
            </w:r>
          </w:p>
        </w:tc>
        <w:tc>
          <w:tcPr>
            <w:tcW w:w="924" w:type="dxa"/>
            <w:vAlign w:val="center"/>
          </w:tcPr>
          <w:p w14:paraId="37B142A4">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392" w:type="dxa"/>
          </w:tcPr>
          <w:p w14:paraId="3D99E006">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val="en-US" w:eastAsia="zh-CN"/>
              </w:rPr>
              <w:t>卢明阳</w:t>
            </w:r>
            <w:r>
              <w:rPr>
                <w:rFonts w:hint="default" w:ascii="Times New Roman" w:hAnsi="Times New Roman" w:eastAsia="黑体" w:cs="Times New Roman"/>
                <w:sz w:val="21"/>
                <w:szCs w:val="21"/>
              </w:rPr>
              <w:t>，男</w:t>
            </w:r>
            <w:r>
              <w:rPr>
                <w:rFonts w:hint="default" w:ascii="Times New Roman" w:hAnsi="Times New Roman" w:eastAsia="黑体" w:cs="Times New Roman"/>
                <w:sz w:val="21"/>
                <w:szCs w:val="21"/>
                <w:lang w:val="en-US" w:eastAsia="zh-CN"/>
              </w:rPr>
              <w:t>，讲师</w:t>
            </w: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电工电子硕士研究生</w:t>
            </w:r>
            <w:r>
              <w:rPr>
                <w:rFonts w:hint="default" w:ascii="Times New Roman" w:hAnsi="Times New Roman" w:eastAsia="黑体" w:cs="Times New Roman"/>
                <w:sz w:val="21"/>
                <w:szCs w:val="21"/>
              </w:rPr>
              <w:t>。</w:t>
            </w:r>
          </w:p>
          <w:p w14:paraId="2656548A">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lang w:val="en-US" w:eastAsia="zh-CN"/>
              </w:rPr>
              <w:t>物联网技术</w:t>
            </w: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rPr>
              <w:t>是介绍物联网综合应用的课程，是一门专业选修课，通过该课程的学习，使学生能够掌握物联网的相关理论知识、操作技能，并能通过使用 Arduino + ESP8266完成物联网相关实际应用案例的 设计和制作，通过本课程的学习将提高学生对物联网关键技术的掌握能力，并能自行设计相关物 联网应用场景，从而为后续课程的学习打下良好的基础。</w:t>
            </w:r>
          </w:p>
        </w:tc>
      </w:tr>
      <w:tr w14:paraId="4927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72D47A11">
            <w:pPr>
              <w:jc w:val="center"/>
              <w:rPr>
                <w:rFonts w:ascii="Arial" w:hAnsi="Arial" w:eastAsia="黑体" w:cs="Arial"/>
                <w:szCs w:val="21"/>
              </w:rPr>
            </w:pPr>
            <w:r>
              <w:rPr>
                <w:rFonts w:ascii="Arial" w:hAnsi="Arial" w:eastAsia="黑体" w:cs="Arial"/>
                <w:szCs w:val="21"/>
              </w:rPr>
              <w:t>选课说明</w:t>
            </w:r>
          </w:p>
        </w:tc>
        <w:tc>
          <w:tcPr>
            <w:tcW w:w="7316" w:type="dxa"/>
            <w:gridSpan w:val="2"/>
          </w:tcPr>
          <w:p w14:paraId="381D6D6E"/>
          <w:p w14:paraId="6A9AA4ED">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三选一，机电25-1、机电25-2班可选</w:t>
            </w:r>
          </w:p>
          <w:p w14:paraId="5C5BCF2B"/>
        </w:tc>
      </w:tr>
    </w:tbl>
    <w:p w14:paraId="0B481379"/>
    <w:p w14:paraId="2AE5CB2E"/>
    <w:p w14:paraId="78325F67"/>
    <w:p w14:paraId="38C1E391"/>
    <w:p w14:paraId="1456B018"/>
    <w:p w14:paraId="35A0FD73"/>
    <w:p w14:paraId="64D811EF"/>
    <w:p w14:paraId="78DFD854"/>
    <w:p w14:paraId="4CB0735C">
      <w:pPr>
        <w:rPr>
          <w:rFonts w:ascii="宋体" w:hAnsi="宋体" w:eastAsia="宋体"/>
          <w:sz w:val="24"/>
          <w:szCs w:val="32"/>
        </w:rPr>
      </w:pPr>
      <w:r>
        <w:rPr>
          <w:rFonts w:hint="eastAsia" w:ascii="宋体" w:hAnsi="宋体" w:eastAsia="宋体"/>
          <w:sz w:val="24"/>
          <w:szCs w:val="32"/>
        </w:rPr>
        <w:t>课程组</w:t>
      </w:r>
      <w:r>
        <w:rPr>
          <w:rFonts w:hint="eastAsia" w:ascii="宋体" w:hAnsi="宋体" w:eastAsia="宋体"/>
          <w:sz w:val="24"/>
          <w:szCs w:val="32"/>
          <w:lang w:val="en-US" w:eastAsia="zh-CN"/>
        </w:rPr>
        <w:t>3</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3</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924"/>
        <w:gridCol w:w="6392"/>
      </w:tblGrid>
      <w:tr w14:paraId="699C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26" w:type="dxa"/>
            <w:vAlign w:val="center"/>
          </w:tcPr>
          <w:p w14:paraId="28466D7C">
            <w:pPr>
              <w:jc w:val="center"/>
              <w:rPr>
                <w:rFonts w:ascii="黑体" w:hAnsi="黑体" w:eastAsia="黑体"/>
                <w:szCs w:val="21"/>
              </w:rPr>
            </w:pPr>
            <w:r>
              <w:rPr>
                <w:rFonts w:hint="eastAsia" w:ascii="黑体" w:hAnsi="黑体" w:eastAsia="黑体"/>
                <w:szCs w:val="21"/>
              </w:rPr>
              <w:t>课程（代码）</w:t>
            </w:r>
          </w:p>
        </w:tc>
        <w:tc>
          <w:tcPr>
            <w:tcW w:w="924" w:type="dxa"/>
            <w:vAlign w:val="center"/>
          </w:tcPr>
          <w:p w14:paraId="30E2F874">
            <w:pPr>
              <w:jc w:val="center"/>
              <w:rPr>
                <w:rFonts w:ascii="黑体" w:hAnsi="黑体" w:eastAsia="黑体"/>
                <w:szCs w:val="21"/>
              </w:rPr>
            </w:pPr>
            <w:r>
              <w:rPr>
                <w:rFonts w:hint="eastAsia" w:ascii="黑体" w:hAnsi="黑体" w:eastAsia="黑体"/>
                <w:szCs w:val="21"/>
              </w:rPr>
              <w:t>学分</w:t>
            </w:r>
          </w:p>
        </w:tc>
        <w:tc>
          <w:tcPr>
            <w:tcW w:w="6392" w:type="dxa"/>
            <w:vAlign w:val="center"/>
          </w:tcPr>
          <w:p w14:paraId="0E623BC8">
            <w:pPr>
              <w:jc w:val="center"/>
              <w:rPr>
                <w:rFonts w:ascii="黑体" w:hAnsi="黑体" w:eastAsia="黑体"/>
                <w:szCs w:val="21"/>
              </w:rPr>
            </w:pPr>
            <w:r>
              <w:rPr>
                <w:rFonts w:hint="eastAsia" w:ascii="黑体" w:hAnsi="黑体" w:eastAsia="黑体"/>
                <w:szCs w:val="21"/>
              </w:rPr>
              <w:t>课程简介</w:t>
            </w:r>
          </w:p>
        </w:tc>
      </w:tr>
      <w:tr w14:paraId="4ACA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424CC602">
            <w:pPr>
              <w:jc w:val="center"/>
              <w:rPr>
                <w:rFonts w:ascii="Arial" w:hAnsi="Arial" w:eastAsia="黑体" w:cs="Arial"/>
                <w:szCs w:val="21"/>
              </w:rPr>
            </w:pPr>
            <w:r>
              <w:rPr>
                <w:rFonts w:hint="eastAsia" w:ascii="Arial" w:hAnsi="Arial" w:eastAsia="黑体" w:cs="Arial"/>
                <w:szCs w:val="21"/>
                <w:lang w:val="en-US" w:eastAsia="zh-CN"/>
              </w:rPr>
              <w:t>物联网技术</w:t>
            </w:r>
            <w:r>
              <w:rPr>
                <w:rFonts w:ascii="Arial" w:hAnsi="Arial" w:eastAsia="黑体" w:cs="Arial"/>
                <w:szCs w:val="21"/>
              </w:rPr>
              <w:t>（</w:t>
            </w:r>
            <w:r>
              <w:rPr>
                <w:rFonts w:hint="eastAsia" w:ascii="Arial" w:hAnsi="Arial" w:eastAsia="黑体" w:cs="Arial"/>
                <w:szCs w:val="21"/>
                <w:lang w:val="en-US" w:eastAsia="zh-CN"/>
              </w:rPr>
              <w:t>0010092</w:t>
            </w:r>
            <w:r>
              <w:rPr>
                <w:rFonts w:ascii="Arial" w:hAnsi="Arial" w:eastAsia="黑体" w:cs="Arial"/>
                <w:szCs w:val="21"/>
              </w:rPr>
              <w:t>）</w:t>
            </w:r>
          </w:p>
        </w:tc>
        <w:tc>
          <w:tcPr>
            <w:tcW w:w="924" w:type="dxa"/>
            <w:vAlign w:val="center"/>
          </w:tcPr>
          <w:p w14:paraId="16551F6F">
            <w:pPr>
              <w:jc w:val="center"/>
              <w:rPr>
                <w:rFonts w:hint="eastAsia" w:ascii="Arial" w:hAnsi="Arial" w:eastAsia="黑体" w:cs="Arial"/>
                <w:szCs w:val="21"/>
                <w:lang w:val="en-US" w:eastAsia="zh-CN"/>
              </w:rPr>
            </w:pPr>
            <w:r>
              <w:rPr>
                <w:rFonts w:hint="eastAsia" w:ascii="Arial" w:hAnsi="Arial" w:eastAsia="黑体" w:cs="Arial"/>
                <w:szCs w:val="21"/>
                <w:lang w:val="en-US" w:eastAsia="zh-CN"/>
              </w:rPr>
              <w:t>3</w:t>
            </w:r>
          </w:p>
        </w:tc>
        <w:tc>
          <w:tcPr>
            <w:tcW w:w="6392" w:type="dxa"/>
          </w:tcPr>
          <w:p w14:paraId="51810AA7">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刘巍，男，讲师，</w:t>
            </w:r>
            <w:bookmarkStart w:id="0" w:name="_GoBack"/>
            <w:bookmarkEnd w:id="0"/>
            <w:r>
              <w:rPr>
                <w:rFonts w:hint="eastAsia" w:ascii="Times New Roman" w:hAnsi="Times New Roman" w:eastAsia="黑体" w:cs="Times New Roman"/>
                <w:sz w:val="21"/>
                <w:szCs w:val="21"/>
                <w:lang w:val="en-US" w:eastAsia="zh-CN"/>
              </w:rPr>
              <w:t>博士研究生</w:t>
            </w:r>
          </w:p>
          <w:p w14:paraId="5BA457D5">
            <w:pPr>
              <w:rPr>
                <w:rFonts w:hint="eastAsia"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课程从实际应用出发，由浅入深地介绍物联网的基本概念、关键技术和广泛应用。学生将学习物联网的体系结构，掌握感知层技术，包括物品信息编码、自动识别、嵌入式系统和定位技术等；了解传输层的传感器网络、互联网接入与承载等技术；掌握数据处理、安全与管理技术，并熟悉物联网在各行业的应用。通过学习，学生将具备物联网技术的组网和实际应用能力。</w:t>
            </w:r>
          </w:p>
        </w:tc>
      </w:tr>
      <w:tr w14:paraId="4785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52B460AD">
            <w:pPr>
              <w:jc w:val="center"/>
              <w:rPr>
                <w:rFonts w:ascii="Arial" w:hAnsi="Arial" w:eastAsia="黑体" w:cs="Arial"/>
                <w:szCs w:val="21"/>
              </w:rPr>
            </w:pPr>
            <w:r>
              <w:rPr>
                <w:rFonts w:hint="eastAsia" w:ascii="Arial" w:hAnsi="Arial" w:eastAsia="黑体" w:cs="Arial"/>
                <w:szCs w:val="21"/>
                <w:lang w:val="en-US" w:eastAsia="zh-CN"/>
              </w:rPr>
              <w:t>PLC工业应用</w:t>
            </w:r>
            <w:r>
              <w:rPr>
                <w:rFonts w:ascii="Arial" w:hAnsi="Arial" w:eastAsia="黑体" w:cs="Arial"/>
                <w:szCs w:val="21"/>
              </w:rPr>
              <w:t>（</w:t>
            </w:r>
            <w:r>
              <w:rPr>
                <w:rFonts w:hint="eastAsia" w:ascii="Arial" w:hAnsi="Arial" w:eastAsia="黑体" w:cs="Arial"/>
                <w:szCs w:val="21"/>
                <w:lang w:val="en-US" w:eastAsia="zh-CN"/>
              </w:rPr>
              <w:t>0010184</w:t>
            </w:r>
            <w:r>
              <w:rPr>
                <w:rFonts w:ascii="Arial" w:hAnsi="Arial" w:eastAsia="黑体" w:cs="Arial"/>
                <w:szCs w:val="21"/>
              </w:rPr>
              <w:t>）</w:t>
            </w:r>
          </w:p>
        </w:tc>
        <w:tc>
          <w:tcPr>
            <w:tcW w:w="924" w:type="dxa"/>
            <w:vAlign w:val="center"/>
          </w:tcPr>
          <w:p w14:paraId="6CEDB0CD">
            <w:pPr>
              <w:jc w:val="center"/>
              <w:rPr>
                <w:rFonts w:hint="eastAsia" w:ascii="Arial" w:hAnsi="Arial" w:eastAsia="黑体" w:cs="Arial"/>
                <w:szCs w:val="21"/>
                <w:lang w:val="en-US" w:eastAsia="zh-CN"/>
              </w:rPr>
            </w:pPr>
            <w:r>
              <w:rPr>
                <w:rFonts w:hint="eastAsia" w:ascii="Arial" w:hAnsi="Arial" w:eastAsia="黑体" w:cs="Arial"/>
                <w:szCs w:val="21"/>
                <w:lang w:val="en-US" w:eastAsia="zh-CN"/>
              </w:rPr>
              <w:t>3</w:t>
            </w:r>
          </w:p>
        </w:tc>
        <w:tc>
          <w:tcPr>
            <w:tcW w:w="6392" w:type="dxa"/>
          </w:tcPr>
          <w:p w14:paraId="33D91C40">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val="en-US" w:eastAsia="zh-CN"/>
              </w:rPr>
              <w:t>卢明阳</w:t>
            </w:r>
            <w:r>
              <w:rPr>
                <w:rFonts w:hint="default" w:ascii="Times New Roman" w:hAnsi="Times New Roman" w:eastAsia="黑体" w:cs="Times New Roman"/>
                <w:sz w:val="21"/>
                <w:szCs w:val="21"/>
              </w:rPr>
              <w:t>，男</w:t>
            </w:r>
            <w:r>
              <w:rPr>
                <w:rFonts w:hint="default" w:ascii="Times New Roman" w:hAnsi="Times New Roman" w:eastAsia="黑体" w:cs="Times New Roman"/>
                <w:sz w:val="21"/>
                <w:szCs w:val="21"/>
                <w:lang w:val="en-US" w:eastAsia="zh-CN"/>
              </w:rPr>
              <w:t>，讲师</w:t>
            </w: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电工电子硕士研究生</w:t>
            </w:r>
            <w:r>
              <w:rPr>
                <w:rFonts w:hint="default" w:ascii="Times New Roman" w:hAnsi="Times New Roman" w:eastAsia="黑体" w:cs="Times New Roman"/>
                <w:sz w:val="21"/>
                <w:szCs w:val="21"/>
              </w:rPr>
              <w:t>。</w:t>
            </w:r>
          </w:p>
          <w:p w14:paraId="015C285C">
            <w:pPr>
              <w:rPr>
                <w:rFonts w:hint="eastAsia"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课程主要帮助学生深入掌握低压电气开关、继电器接触器典型控制电路的原理与应用。学生将学习并具备安装调试三相交流电动机星 - 三角启动、正反转、能耗制动等典型电路的能力。通过对钻床、铣床、磨床等机床电路控制原理的学习，能够对一般故障进行有效的分析与排除。同时，学生还将理解 PLC 的结构原理和指令系统，并掌握使用 PLC 编写设备控制应用程序的方法，为进一步从事自动化控制系统的设计、安装、调试和维护工作奠定坚实基础。</w:t>
            </w:r>
          </w:p>
        </w:tc>
      </w:tr>
      <w:tr w14:paraId="6D76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56E88868">
            <w:pPr>
              <w:jc w:val="center"/>
              <w:rPr>
                <w:rFonts w:ascii="Arial" w:hAnsi="Arial" w:eastAsia="黑体" w:cs="Arial"/>
                <w:szCs w:val="21"/>
              </w:rPr>
            </w:pPr>
            <w:r>
              <w:rPr>
                <w:rFonts w:hint="eastAsia" w:ascii="Arial" w:hAnsi="Arial" w:eastAsia="黑体" w:cs="Arial"/>
                <w:szCs w:val="21"/>
                <w:lang w:val="en-US" w:eastAsia="zh-CN"/>
              </w:rPr>
              <w:t>数字化设计与制造</w:t>
            </w:r>
            <w:r>
              <w:rPr>
                <w:rFonts w:ascii="Arial" w:hAnsi="Arial" w:eastAsia="黑体" w:cs="Arial"/>
                <w:szCs w:val="21"/>
              </w:rPr>
              <w:t>（</w:t>
            </w:r>
            <w:r>
              <w:rPr>
                <w:rFonts w:hint="eastAsia" w:ascii="Arial" w:hAnsi="Arial" w:eastAsia="黑体" w:cs="Arial"/>
                <w:szCs w:val="21"/>
                <w:lang w:val="en-US" w:eastAsia="zh-CN"/>
              </w:rPr>
              <w:t>0010251</w:t>
            </w:r>
            <w:r>
              <w:rPr>
                <w:rFonts w:ascii="Arial" w:hAnsi="Arial" w:eastAsia="黑体" w:cs="Arial"/>
                <w:szCs w:val="21"/>
              </w:rPr>
              <w:t>）</w:t>
            </w:r>
          </w:p>
        </w:tc>
        <w:tc>
          <w:tcPr>
            <w:tcW w:w="924" w:type="dxa"/>
            <w:vAlign w:val="center"/>
          </w:tcPr>
          <w:p w14:paraId="31C5D752">
            <w:pPr>
              <w:jc w:val="center"/>
              <w:rPr>
                <w:rFonts w:hint="eastAsia" w:ascii="Arial" w:hAnsi="Arial" w:eastAsia="黑体" w:cs="Arial"/>
                <w:szCs w:val="21"/>
                <w:lang w:val="en-US" w:eastAsia="zh-CN"/>
              </w:rPr>
            </w:pPr>
            <w:r>
              <w:rPr>
                <w:rFonts w:hint="eastAsia" w:ascii="Arial" w:hAnsi="Arial" w:eastAsia="黑体" w:cs="Arial"/>
                <w:szCs w:val="21"/>
                <w:lang w:val="en-US" w:eastAsia="zh-CN"/>
              </w:rPr>
              <w:t>3</w:t>
            </w:r>
          </w:p>
        </w:tc>
        <w:tc>
          <w:tcPr>
            <w:tcW w:w="6392" w:type="dxa"/>
          </w:tcPr>
          <w:p w14:paraId="22718689">
            <w:pPr>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周娟，女，讲师，机械工程研究生</w:t>
            </w:r>
          </w:p>
          <w:p w14:paraId="7E5A68E4">
            <w:r>
              <w:rPr>
                <w:rFonts w:hint="default" w:ascii="Times New Roman" w:hAnsi="Times New Roman" w:eastAsia="黑体" w:cs="Times New Roman"/>
                <w:sz w:val="21"/>
                <w:szCs w:val="21"/>
                <w:lang w:val="en-US" w:eastAsia="zh-CN"/>
              </w:rPr>
              <w:t>学生将学习三维建模、虚拟装配等数字化设计技术，掌握数控加工、3D打印等数字化制造工艺。同时，熟悉产品全生命周期的数字化管理流程，具备数字化分析与优化的能力。通过课程学习，学生能够将数字化技术应用于产品设计、制造及管理过程，为从事数字化制造领域的工作打下坚实基础。</w:t>
            </w:r>
          </w:p>
        </w:tc>
      </w:tr>
      <w:tr w14:paraId="5051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6" w:type="dxa"/>
            <w:vAlign w:val="center"/>
          </w:tcPr>
          <w:p w14:paraId="07564BA8">
            <w:pPr>
              <w:jc w:val="center"/>
              <w:rPr>
                <w:rFonts w:ascii="Arial" w:hAnsi="Arial" w:eastAsia="黑体" w:cs="Arial"/>
                <w:szCs w:val="21"/>
              </w:rPr>
            </w:pPr>
            <w:r>
              <w:rPr>
                <w:rFonts w:ascii="Arial" w:hAnsi="Arial" w:eastAsia="黑体" w:cs="Arial"/>
                <w:szCs w:val="21"/>
              </w:rPr>
              <w:t>选课说明</w:t>
            </w:r>
          </w:p>
        </w:tc>
        <w:tc>
          <w:tcPr>
            <w:tcW w:w="7316" w:type="dxa"/>
            <w:gridSpan w:val="2"/>
          </w:tcPr>
          <w:p w14:paraId="14A1261B"/>
          <w:p w14:paraId="77725752">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三选一，机电25-3可选</w:t>
            </w:r>
          </w:p>
          <w:p w14:paraId="191BB11D"/>
        </w:tc>
      </w:tr>
    </w:tbl>
    <w:p w14:paraId="74165E4D"/>
    <w:p w14:paraId="1001AA0F"/>
    <w:p w14:paraId="3F303BBE">
      <w:pPr>
        <w:pStyle w:val="11"/>
        <w:rPr>
          <w:rFonts w:ascii="宋体" w:hAnsi="宋体" w:eastAsia="宋体"/>
        </w:rPr>
      </w:pPr>
      <w:r>
        <w:rPr>
          <w:rFonts w:hint="eastAsia" w:ascii="宋体" w:hAnsi="宋体" w:eastAsia="宋体"/>
        </w:rPr>
        <w:t>说明：</w:t>
      </w:r>
    </w:p>
    <w:p w14:paraId="2FE42214">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7BAEBFA0">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1338DE7E">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D5B5B"/>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318CC"/>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766A2"/>
    <w:rsid w:val="00BD25AC"/>
    <w:rsid w:val="00BF6ADF"/>
    <w:rsid w:val="00C04247"/>
    <w:rsid w:val="00C549E4"/>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113F5664"/>
    <w:rsid w:val="61240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unhideWhenUsed/>
    <w:qFormat/>
    <w:uiPriority w:val="99"/>
    <w:pPr>
      <w:tabs>
        <w:tab w:val="center" w:pos="4153"/>
        <w:tab w:val="right" w:pos="8306"/>
      </w:tabs>
      <w:snapToGrid w:val="0"/>
      <w:jc w:val="left"/>
    </w:pPr>
    <w:rPr>
      <w:sz w:val="18"/>
      <w:szCs w:val="18"/>
    </w:rPr>
  </w:style>
  <w:style w:type="paragraph" w:styleId="12">
    <w:name w:val="header"/>
    <w:basedOn w:val="1"/>
    <w:link w:val="4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qFormat/>
    <w:uiPriority w:val="0"/>
    <w:pPr>
      <w:snapToGrid w:val="0"/>
      <w:jc w:val="center"/>
    </w:pPr>
    <w:rPr>
      <w:rFonts w:ascii="Arial" w:hAnsi="Arial" w:eastAsia="黑体" w:cs="Times New Roman"/>
      <w:bCs/>
      <w:color w:val="000000"/>
      <w:szCs w:val="20"/>
    </w:rPr>
  </w:style>
  <w:style w:type="paragraph" w:customStyle="1" w:styleId="27">
    <w:name w:val="一级标题"/>
    <w:basedOn w:val="1"/>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semiHidden/>
    <w:qFormat/>
    <w:uiPriority w:val="9"/>
    <w:rPr>
      <w:rFonts w:cstheme="majorBidi"/>
      <w:b/>
      <w:bCs/>
      <w:color w:val="104862" w:themeColor="accent1" w:themeShade="BF"/>
    </w:rPr>
  </w:style>
  <w:style w:type="character" w:customStyle="1" w:styleId="3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qFormat/>
    <w:uiPriority w:val="30"/>
    <w:rPr>
      <w:i/>
      <w:iCs/>
      <w:color w:val="104862" w:themeColor="accent1" w:themeShade="BF"/>
    </w:rPr>
  </w:style>
  <w:style w:type="character" w:customStyle="1" w:styleId="47">
    <w:name w:val="Intense Reference"/>
    <w:basedOn w:val="18"/>
    <w:qFormat/>
    <w:uiPriority w:val="32"/>
    <w:rPr>
      <w:b/>
      <w:bCs/>
      <w:smallCaps/>
      <w:color w:val="104862" w:themeColor="accent1" w:themeShade="BF"/>
      <w:spacing w:val="5"/>
    </w:rPr>
  </w:style>
  <w:style w:type="character" w:customStyle="1" w:styleId="48">
    <w:name w:val="页眉 字符"/>
    <w:basedOn w:val="18"/>
    <w:link w:val="12"/>
    <w:qFormat/>
    <w:uiPriority w:val="99"/>
    <w:rPr>
      <w:sz w:val="18"/>
      <w:szCs w:val="18"/>
    </w:rPr>
  </w:style>
  <w:style w:type="character" w:customStyle="1" w:styleId="49">
    <w:name w:val="页脚 字符"/>
    <w:basedOn w:val="18"/>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254</Words>
  <Characters>281</Characters>
  <Lines>2</Lines>
  <Paragraphs>1</Paragraphs>
  <TotalTime>4</TotalTime>
  <ScaleCrop>false</ScaleCrop>
  <LinksUpToDate>false</LinksUpToDate>
  <CharactersWithSpaces>313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2026-03-10T02:23:00Z</dcterms:created>
  <dc:creator>孙鹏</dc:creator>
  <cp:lastModifiedBy>王君</cp:lastModifiedBy>
  <dcterms:modified xsi:type="dcterms:W3CDTF">2026-04-20T07:57:59Z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BAD82F4F35664E43A9EB607FCCC5602C_13</vt:lpwstr>
  </property>
  <property fmtid="{D5CDD505-2E9C-101B-9397-08002B2CF9AE}" pid="4" name="KSOTemplateDocerSaveRecord">
    <vt:lpwstr>eyJoZGlkIjoiZDAzMTI1M2VkM2EyODZjNjY0NTM2NDA2OGNkMDMyYjEiLCJ1c2VySWQiOiIyNDI1OTQ4MzEifQ==</vt:lpwstr>
  </property>
</Properties>
</file>