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26925F2A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026-2027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</w:rPr>
        <w:t>1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职业技术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国际商务</w:t>
      </w:r>
      <w:r>
        <w:rPr>
          <w:rFonts w:ascii="黑体" w:hAnsi="黑体" w:eastAsia="黑体"/>
          <w:sz w:val="24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00B8F90F"/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32"/>
        </w:rPr>
        <w:t xml:space="preserve">  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765"/>
        <w:gridCol w:w="8001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7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46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3F71BD2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课程A</w:t>
            </w:r>
          </w:p>
          <w:p w14:paraId="505AD2B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Arial" w:hAnsi="Arial" w:eastAsia="黑体" w:cs="Arial"/>
                <w:szCs w:val="21"/>
              </w:rPr>
              <w:t>客户关系管理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47538376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5BECFA64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任课教师：潘洪涛，讲师</w:t>
            </w:r>
          </w:p>
          <w:p w14:paraId="3E56622B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  <w:t>本课程聚焦现代企业如何通过系统化方法识别、获取、维护并提升客户价值。课程内容涵盖客户生命周期管理、客户细分与画像、CRM系统架构、数据驱动的营销策略以及客户满意度与忠诚度评估模型等核心模块。结合国际商务背景，课程特别强调跨文化客户沟通、全球化客户服务体系构建及数字化工具（如Salesforce、HubSpot）在跨境业务中的应用。通过案例研讨、模拟操作与企业嘉宾讲座，学生将掌握从理论到实践的完整CRM能力体系。该课程适合未来有志于从事国际市场营销、客户服务、数字贸易或跨境电商运营的同学选修，不仅有助于提升职场竞争力，也为后续参与企业实习或创业项目奠定坚实基础。</w:t>
            </w:r>
          </w:p>
          <w:p w14:paraId="69E727CC"/>
        </w:tc>
      </w:tr>
      <w:tr w14:paraId="4D1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AD71808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ascii="Arial" w:hAnsi="Arial" w:eastAsia="黑体" w:cs="Arial"/>
                <w:szCs w:val="21"/>
              </w:rPr>
              <w:t>课程B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（财务报表分析）</w:t>
            </w:r>
          </w:p>
        </w:tc>
        <w:tc>
          <w:tcPr>
            <w:tcW w:w="646" w:type="dxa"/>
            <w:vAlign w:val="center"/>
          </w:tcPr>
          <w:p w14:paraId="28C1E0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4B6FA598"/>
          <w:p w14:paraId="3F28B930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任课教师：王骁飞，讲师</w:t>
            </w:r>
          </w:p>
          <w:p w14:paraId="115B02FE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  <w:t>在全球化商业环境中，读懂财务语言是国际商务人才的核心素养之一。本课程系统讲授资产负债表、利润表与现金流量表的结构、逻辑及其内在关联，重点训练学生运用比率分析、趋势分析和杜邦分析等工具，对企业的盈利能力、偿债能力、营运效率及成长潜力进行综合判断。课程结合上市公司真实财报（包括跨国企业案例），引导学生从投资者、债权人及管理者多重视角解读财务信息，并识别潜在风险与机会。此外，还将简要介绍国际财务报告准则（IFRS）与中国会计准则的差异，增强学生的国际视野。无论未来从事外贸业务、跨国并购、供应链金融还是自主创业，本课程都将为你提供不可或缺的财务洞察力。</w:t>
            </w:r>
          </w:p>
          <w:p w14:paraId="30C7758B"/>
        </w:tc>
      </w:tr>
      <w:tr w14:paraId="6C8A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4690AFB3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ascii="Arial" w:hAnsi="Arial" w:eastAsia="黑体" w:cs="Arial"/>
                <w:szCs w:val="21"/>
              </w:rPr>
              <w:t>课程C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（国际货运代理实务）</w:t>
            </w:r>
          </w:p>
        </w:tc>
        <w:tc>
          <w:tcPr>
            <w:tcW w:w="646" w:type="dxa"/>
            <w:vAlign w:val="center"/>
          </w:tcPr>
          <w:p w14:paraId="37B142A4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4</w:t>
            </w:r>
          </w:p>
        </w:tc>
        <w:tc>
          <w:tcPr>
            <w:tcW w:w="6753" w:type="dxa"/>
          </w:tcPr>
          <w:p w14:paraId="05FAFD1F"/>
          <w:p w14:paraId="1944F8D4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任课教师：王涛，教授</w:t>
            </w:r>
          </w:p>
          <w:p w14:paraId="1FBD6485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  <w:t>作为连接国际贸易与物流的关键环节，国际货运代理在跨境供应链中扮演着“协调者”与“问题解决者”的角色。本课程以实务为导向，全面讲解海运、空运、陆运及多式联运的操作流程，涵盖订舱、报关报检、单证制作（如提单、装箱单、发票）、运费核算、保险安排及异常处理等核心技能。课程引入真实货代公司工作场景，通过模拟报价、单证填制、风险预案设计等任务，强化学生动手能力。同时，结合RCEP、“一带一路”等区域合作框架，探讨新兴市场物流通道的变化与机遇。本课程特别适合计划进入外贸企业、物流公司、报关行或跨境电商平台工作的同学，是打通“贸易—物流—支付”全链条认知的重要一环。</w:t>
            </w:r>
          </w:p>
          <w:p w14:paraId="2656548A"/>
        </w:tc>
      </w:tr>
      <w:tr w14:paraId="4927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72D47A1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381D6D6E"/>
          <w:p w14:paraId="6A9AA4E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需选4学分</w:t>
            </w:r>
          </w:p>
          <w:p w14:paraId="5C5BCF2B"/>
        </w:tc>
      </w:tr>
    </w:tbl>
    <w:p w14:paraId="0B481379"/>
    <w:p w14:paraId="2AE5CB2E"/>
    <w:p w14:paraId="337B8B88">
      <w:pPr>
        <w:rPr>
          <w:rFonts w:hint="eastAsia"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br w:type="page"/>
      </w:r>
    </w:p>
    <w:p w14:paraId="4CB0735C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</w:t>
      </w:r>
      <w:r>
        <w:rPr>
          <w:rFonts w:ascii="宋体" w:hAnsi="宋体" w:eastAsia="宋体"/>
          <w:sz w:val="24"/>
          <w:szCs w:val="32"/>
        </w:rPr>
        <w:t>2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765"/>
        <w:gridCol w:w="8001"/>
      </w:tblGrid>
      <w:tr w14:paraId="699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7" w:type="dxa"/>
            <w:vAlign w:val="center"/>
          </w:tcPr>
          <w:p w14:paraId="28466D7C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46" w:type="dxa"/>
            <w:vAlign w:val="center"/>
          </w:tcPr>
          <w:p w14:paraId="30E2F87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0E623BC8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4ACA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25763144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课程A</w:t>
            </w:r>
          </w:p>
          <w:p w14:paraId="424CC602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Arial" w:hAnsi="Arial" w:eastAsia="黑体" w:cs="Arial"/>
                <w:szCs w:val="21"/>
              </w:rPr>
              <w:t>“一带一路”经济地理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16551F6F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51E1B9DE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任课教师：李蓓蓓，副教授</w:t>
            </w:r>
          </w:p>
          <w:p w14:paraId="1AF5173E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  <w:t>“一带一路”倡议深刻重塑了全球经贸格局，理解其空间逻辑与区域联动机制，对国际商务从业者至关重要。本课程从地缘经济视角出发，系统梳理“一带一路”六大经济走廊的资源禀赋、产业布局、基础设施联通现状及政策环境，重点分析中欧班列、海外园区、能源通道等关键项目背后的经济逻辑。课程融合地图分析、国别比较与案例研究（如中老铁路、比雷埃夫斯港），帮助学生掌握区域市场进入策略与风险评估方法。此外，还将探讨绿色“一带一路”、数字丝绸之路等新趋势。本课程兼具宏观视野与微观洞察，适合希望拓展新兴市场知识、从事国际投资、政府事务或区域经济研究的同学选修。</w:t>
            </w:r>
          </w:p>
          <w:p w14:paraId="5BA457D5"/>
        </w:tc>
      </w:tr>
      <w:tr w14:paraId="4785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52B460AD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ascii="Arial" w:hAnsi="Arial" w:eastAsia="黑体" w:cs="Arial"/>
                <w:szCs w:val="21"/>
              </w:rPr>
              <w:t>课程B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（日语入门）</w:t>
            </w:r>
          </w:p>
        </w:tc>
        <w:tc>
          <w:tcPr>
            <w:tcW w:w="646" w:type="dxa"/>
            <w:vAlign w:val="center"/>
          </w:tcPr>
          <w:p w14:paraId="6CEDB0CD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75A48E26"/>
          <w:p w14:paraId="44EE3460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任课教师：王杨超，讲师</w:t>
            </w:r>
          </w:p>
          <w:p w14:paraId="4A4B67CD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  <w:t>在全球化背景下，掌握一门第二外语是国际商务人才的重要加分项。本课程面向零基础学生，系统教授日语五十音图、基础语法、日常会话及商务礼仪用语，注重听、说、读、写四项技能的均衡发展。课程内容涵盖自我介绍、购物、问路、电话沟通等实用场景，并融入日本企业文化、商务习惯与社会习俗讲解，帮助学生建立跨文化沟通意识。教材选用兼顾趣味性与实用性，配合多媒体资源与角色扮演练习，营造沉浸式学习氛围。完成本课程后，学生可达到JLPT N5水平，具备基本交流能力。对于有意赴日留学、进入日资企业、从事对日贸易或关注东亚市场的同学而言，本课程是开启语言与文化之门的理想起点。</w:t>
            </w:r>
          </w:p>
          <w:p w14:paraId="015C285C"/>
        </w:tc>
      </w:tr>
      <w:tr w14:paraId="6D76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56E88868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ascii="Arial" w:hAnsi="Arial" w:eastAsia="黑体" w:cs="Arial"/>
                <w:szCs w:val="21"/>
              </w:rPr>
              <w:t>课程C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（微观经济与企业决策）</w:t>
            </w:r>
          </w:p>
        </w:tc>
        <w:tc>
          <w:tcPr>
            <w:tcW w:w="646" w:type="dxa"/>
            <w:vAlign w:val="center"/>
          </w:tcPr>
          <w:p w14:paraId="31C5D7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0DE240F4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任课教师：李蓓蓓，副教授</w:t>
            </w:r>
          </w:p>
          <w:p w14:paraId="7D56FC75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本课程将微观经济学原理与企业实际经营决策紧密结合，帮助学生理解市场机制如何影响企业行为。内容涵盖需求与供给分析、弹性理论、生产成本结构、市场结构（完全竞争、垄断竞争、寡头等）、定价策略、博弈论基础及信息不对称问题。课程强调“学以致用”，通过大量国际商务案例（如跨国公司定价、平台经济竞争、关税对供应链的影响）引导学生运用经济学工具分析现实问题。教学形式包括课堂讨论、小组建模与政策模拟，培养逻辑思维与量化分析能力。本课程不仅为后续学习国际商务谈判、战略管理等课程打下理论基础，也为企业实习中的市场调研、产品定位等工作提供分析框架，是提升商业判断力的必修“思维课”。</w:t>
            </w:r>
          </w:p>
          <w:p w14:paraId="3BE29427"/>
          <w:p w14:paraId="7E5A68E4"/>
        </w:tc>
      </w:tr>
      <w:tr w14:paraId="4E613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525933C5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</w:t>
            </w: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D</w:t>
            </w: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（外经贸案例分析）</w:t>
            </w:r>
          </w:p>
        </w:tc>
        <w:tc>
          <w:tcPr>
            <w:tcW w:w="646" w:type="dxa"/>
            <w:vAlign w:val="center"/>
          </w:tcPr>
          <w:p w14:paraId="381C437A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753" w:type="dxa"/>
          </w:tcPr>
          <w:p w14:paraId="7F4E361D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任课教师：王骁飞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，讲师</w:t>
            </w:r>
          </w:p>
          <w:p w14:paraId="2D17E5B7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本课程以真实、典型、前沿的外经贸案例为载体，培养学生综合运用专业知识解决复杂问题的能力。案例覆盖国际贸易争端（如反倾销调查）、跨境投资失败与成功经验、自贸区政策创新、跨境电商合规挑战、RCEP原产地规则应用、绿色贸易壁垒应对等多个维度。教学采用“哈佛式”案例教学法，学生需在课前研读材料，课堂上分组辩论、提出解决方案，并接受教师与同伴质询。课程强调批判性思维、团队协作与表达能力，同时邀请外贸企业高管参与点评。通过本课程，学生不仅能深化对《国际贸易实务》《国际商法》等课程知识的理解，更能提前体验真实职场中的决策压力与协作模式，为毕业求职或升学深造积累宝贵经验。</w:t>
            </w:r>
          </w:p>
        </w:tc>
      </w:tr>
      <w:tr w14:paraId="5051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vAlign w:val="center"/>
          </w:tcPr>
          <w:p w14:paraId="07564BA8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14A1261B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需选4学分</w:t>
            </w:r>
          </w:p>
          <w:p w14:paraId="053F8486"/>
          <w:p w14:paraId="70CBAA52"/>
        </w:tc>
      </w:tr>
    </w:tbl>
    <w:p w14:paraId="74165E4D"/>
    <w:p w14:paraId="1001AA0F"/>
    <w:p w14:paraId="3F303BBE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2FE42214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 w14:paraId="7BAEBFA0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 w14:paraId="1338DE7E"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D5B5B"/>
    <w:rsid w:val="002F532B"/>
    <w:rsid w:val="003566C7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318CC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766A2"/>
    <w:rsid w:val="00BD25AC"/>
    <w:rsid w:val="00BF6ADF"/>
    <w:rsid w:val="00C04247"/>
    <w:rsid w:val="00C549E4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5EED"/>
    <w:rsid w:val="00F45671"/>
    <w:rsid w:val="00F86228"/>
    <w:rsid w:val="00FF3F9A"/>
    <w:rsid w:val="026330B6"/>
    <w:rsid w:val="14EF1875"/>
    <w:rsid w:val="2E4B4C4B"/>
    <w:rsid w:val="46E54354"/>
    <w:rsid w:val="66AD2750"/>
    <w:rsid w:val="6D79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18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8"/>
    <w:link w:val="42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字符"/>
    <w:basedOn w:val="18"/>
    <w:link w:val="45"/>
    <w:uiPriority w:val="30"/>
    <w:rPr>
      <w:i/>
      <w:iCs/>
      <w:color w:val="104862" w:themeColor="accent1" w:themeShade="BF"/>
    </w:rPr>
  </w:style>
  <w:style w:type="character" w:customStyle="1" w:styleId="4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字符"/>
    <w:basedOn w:val="18"/>
    <w:link w:val="12"/>
    <w:uiPriority w:val="99"/>
    <w:rPr>
      <w:sz w:val="18"/>
      <w:szCs w:val="18"/>
    </w:rPr>
  </w:style>
  <w:style w:type="character" w:customStyle="1" w:styleId="49">
    <w:name w:val="页脚 字符"/>
    <w:basedOn w:val="18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2244</Words>
  <Characters>2287</Characters>
  <Lines>2</Lines>
  <Paragraphs>1</Paragraphs>
  <TotalTime>4496</TotalTime>
  <ScaleCrop>false</ScaleCrop>
  <LinksUpToDate>false</LinksUpToDate>
  <CharactersWithSpaces>2306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2026-03-10T02:23:00Z</dcterms:created>
  <dc:creator>孙鹏</dc:creator>
  <cp:lastModifiedBy>李美呈</cp:lastModifiedBy>
  <dcterms:modified xsi:type="dcterms:W3CDTF">2026-04-14T04:10:12Z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eyJoZGlkIjoiMGU4ZWY0MWZiOWUxZDY3MWNhNjQ2ZTljOWI0NzhiODYiLCJ1c2VySWQiOiI0MTU2NTQ3MTAifQ==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210750B7D02149158CD3D7BD0145A588_12</vt:lpwstr>
  </property>
</Properties>
</file>