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FA9F6">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14:paraId="26925F2A">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026-2027</w:t>
      </w:r>
      <w:r>
        <w:rPr>
          <w:rFonts w:hint="eastAsia" w:ascii="黑体" w:hAnsi="黑体" w:eastAsia="黑体"/>
          <w:sz w:val="24"/>
          <w:szCs w:val="32"/>
        </w:rPr>
        <w:t>学年第</w:t>
      </w:r>
      <w:r>
        <w:rPr>
          <w:rFonts w:hint="eastAsia" w:ascii="黑体" w:hAnsi="黑体" w:eastAsia="黑体"/>
          <w:sz w:val="24"/>
          <w:szCs w:val="32"/>
          <w:u w:val="single"/>
        </w:rPr>
        <w:t>1</w:t>
      </w:r>
      <w:r>
        <w:rPr>
          <w:rFonts w:hint="eastAsia" w:ascii="黑体" w:hAnsi="黑体" w:eastAsia="黑体"/>
          <w:sz w:val="24"/>
          <w:szCs w:val="32"/>
        </w:rPr>
        <w:t>学期</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lang w:val="en-US" w:eastAsia="zh-CN"/>
        </w:rPr>
        <w:t>职业技术</w:t>
      </w:r>
      <w:r>
        <w:rPr>
          <w:rFonts w:ascii="黑体" w:hAnsi="黑体" w:eastAsia="黑体"/>
          <w:sz w:val="24"/>
          <w:szCs w:val="32"/>
          <w:u w:val="single"/>
        </w:rPr>
        <w:t xml:space="preserve">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lang w:val="en-US" w:eastAsia="zh-CN"/>
        </w:rPr>
        <w:t>商务英语</w:t>
      </w:r>
      <w:r>
        <w:rPr>
          <w:rFonts w:ascii="黑体" w:hAnsi="黑体" w:eastAsia="黑体"/>
          <w:sz w:val="24"/>
          <w:szCs w:val="32"/>
          <w:u w:val="single"/>
        </w:rPr>
        <w:t xml:space="preserve">     </w:t>
      </w:r>
      <w:r>
        <w:rPr>
          <w:rFonts w:hint="eastAsia" w:ascii="黑体" w:hAnsi="黑体" w:eastAsia="黑体"/>
          <w:sz w:val="24"/>
          <w:szCs w:val="32"/>
        </w:rPr>
        <w:t>专业</w:t>
      </w:r>
    </w:p>
    <w:p w14:paraId="00B8F90F"/>
    <w:p w14:paraId="76F3AD7D">
      <w:pPr>
        <w:rPr>
          <w:rFonts w:ascii="宋体" w:hAnsi="宋体" w:eastAsia="宋体"/>
          <w:sz w:val="24"/>
          <w:szCs w:val="32"/>
        </w:rPr>
      </w:pPr>
      <w:r>
        <w:rPr>
          <w:rFonts w:hint="eastAsia" w:ascii="宋体" w:hAnsi="宋体" w:eastAsia="宋体"/>
          <w:sz w:val="24"/>
          <w:szCs w:val="32"/>
        </w:rPr>
        <w:t>课程组1</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 xml:space="preserve">  </w:t>
      </w:r>
      <w:r>
        <w:rPr>
          <w:rFonts w:hint="eastAsia" w:ascii="宋体" w:hAnsi="宋体" w:eastAsia="宋体"/>
          <w:sz w:val="24"/>
          <w:szCs w:val="32"/>
        </w:rPr>
        <w:t>）分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3D7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400B76CF">
            <w:pPr>
              <w:jc w:val="center"/>
              <w:rPr>
                <w:rFonts w:ascii="黑体" w:hAnsi="黑体" w:eastAsia="黑体"/>
                <w:szCs w:val="21"/>
              </w:rPr>
            </w:pPr>
            <w:r>
              <w:rPr>
                <w:rFonts w:hint="eastAsia" w:ascii="黑体" w:hAnsi="黑体" w:eastAsia="黑体"/>
                <w:szCs w:val="21"/>
              </w:rPr>
              <w:t>课程（代码）</w:t>
            </w:r>
          </w:p>
        </w:tc>
        <w:tc>
          <w:tcPr>
            <w:tcW w:w="662" w:type="dxa"/>
            <w:vAlign w:val="center"/>
          </w:tcPr>
          <w:p w14:paraId="12D9C1B0">
            <w:pPr>
              <w:jc w:val="center"/>
              <w:rPr>
                <w:rFonts w:ascii="黑体" w:hAnsi="黑体" w:eastAsia="黑体"/>
                <w:szCs w:val="21"/>
              </w:rPr>
            </w:pPr>
            <w:r>
              <w:rPr>
                <w:rFonts w:hint="eastAsia" w:ascii="黑体" w:hAnsi="黑体" w:eastAsia="黑体"/>
                <w:szCs w:val="21"/>
              </w:rPr>
              <w:t>学分</w:t>
            </w:r>
          </w:p>
        </w:tc>
        <w:tc>
          <w:tcPr>
            <w:tcW w:w="6922" w:type="dxa"/>
            <w:vAlign w:val="center"/>
          </w:tcPr>
          <w:p w14:paraId="46E83249">
            <w:pPr>
              <w:jc w:val="center"/>
              <w:rPr>
                <w:rFonts w:ascii="黑体" w:hAnsi="黑体" w:eastAsia="黑体"/>
                <w:szCs w:val="21"/>
              </w:rPr>
            </w:pPr>
            <w:r>
              <w:rPr>
                <w:rFonts w:hint="eastAsia" w:ascii="黑体" w:hAnsi="黑体" w:eastAsia="黑体"/>
                <w:szCs w:val="21"/>
              </w:rPr>
              <w:t>课程简介</w:t>
            </w:r>
          </w:p>
        </w:tc>
      </w:tr>
      <w:tr w14:paraId="5574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8" w:hRule="atLeast"/>
        </w:trPr>
        <w:tc>
          <w:tcPr>
            <w:tcW w:w="1658" w:type="dxa"/>
            <w:vAlign w:val="center"/>
          </w:tcPr>
          <w:p w14:paraId="3F71BD2B">
            <w:pPr>
              <w:jc w:val="center"/>
              <w:rPr>
                <w:rFonts w:ascii="Arial" w:hAnsi="Arial" w:eastAsia="黑体" w:cs="Arial"/>
                <w:szCs w:val="21"/>
              </w:rPr>
            </w:pPr>
            <w:r>
              <w:rPr>
                <w:rFonts w:ascii="Arial" w:hAnsi="Arial" w:eastAsia="黑体" w:cs="Arial"/>
                <w:szCs w:val="21"/>
              </w:rPr>
              <w:t>课程A</w:t>
            </w:r>
          </w:p>
          <w:p w14:paraId="505AD2BD">
            <w:pPr>
              <w:jc w:val="center"/>
              <w:rPr>
                <w:rFonts w:ascii="Arial" w:hAnsi="Arial" w:eastAsia="黑体" w:cs="Arial"/>
                <w:szCs w:val="21"/>
              </w:rPr>
            </w:pPr>
            <w:r>
              <w:rPr>
                <w:rFonts w:ascii="Arial" w:hAnsi="Arial" w:eastAsia="黑体" w:cs="Arial"/>
                <w:szCs w:val="21"/>
              </w:rPr>
              <w:t>（</w:t>
            </w:r>
            <w:r>
              <w:rPr>
                <w:rFonts w:hint="eastAsia" w:ascii="Arial" w:hAnsi="Arial" w:eastAsia="黑体" w:cs="Arial"/>
                <w:szCs w:val="21"/>
              </w:rPr>
              <w:t>管理学基础0010197</w:t>
            </w:r>
            <w:r>
              <w:rPr>
                <w:rFonts w:ascii="Arial" w:hAnsi="Arial" w:eastAsia="黑体" w:cs="Arial"/>
                <w:szCs w:val="21"/>
              </w:rPr>
              <w:t>）</w:t>
            </w:r>
          </w:p>
        </w:tc>
        <w:tc>
          <w:tcPr>
            <w:tcW w:w="662" w:type="dxa"/>
            <w:vAlign w:val="center"/>
          </w:tcPr>
          <w:p w14:paraId="47538376">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620D4DFF">
            <w:pPr>
              <w:rPr>
                <w:rFonts w:hint="eastAsia" w:ascii="黑体" w:hAnsi="黑体" w:eastAsia="黑体" w:cs="黑体"/>
                <w:lang w:val="zh-CN"/>
              </w:rPr>
            </w:pPr>
            <w:r>
              <w:rPr>
                <w:rFonts w:hint="eastAsia" w:ascii="黑体" w:hAnsi="黑体" w:eastAsia="黑体" w:cs="黑体"/>
                <w:lang w:val="zh-CN"/>
              </w:rPr>
              <w:t>任课教师：</w:t>
            </w:r>
            <w:r>
              <w:rPr>
                <w:rFonts w:hint="eastAsia" w:ascii="黑体" w:hAnsi="黑体" w:eastAsia="黑体" w:cs="黑体"/>
                <w:lang w:val="en-US" w:eastAsia="zh-CN"/>
              </w:rPr>
              <w:t>薛文，</w:t>
            </w:r>
            <w:r>
              <w:rPr>
                <w:rFonts w:hint="eastAsia" w:ascii="黑体" w:hAnsi="黑体" w:eastAsia="黑体" w:cs="黑体"/>
                <w:lang w:val="zh-CN"/>
              </w:rPr>
              <w:t>讲师。</w:t>
            </w:r>
          </w:p>
          <w:p w14:paraId="69E727CC">
            <w:r>
              <w:rPr>
                <w:rFonts w:hint="eastAsia" w:ascii="黑体" w:hAnsi="黑体" w:eastAsia="黑体" w:cs="黑体"/>
                <w:lang w:val="en-US" w:eastAsia="zh-CN"/>
              </w:rPr>
              <w:t>本课程</w:t>
            </w:r>
            <w:r>
              <w:rPr>
                <w:rFonts w:hint="eastAsia" w:ascii="黑体" w:hAnsi="黑体" w:eastAsia="黑体" w:cs="黑体"/>
                <w:lang w:val="zh-CN"/>
              </w:rPr>
              <w:t>是为商务英语专业学生开设的选修课程，共32学时，2学分。课程以管理的五大职能——计划、组织、人事、领导、控制为主线，系统讲授管理学核心理论与方法，帮助学生理解管理本质、管理者角色以及中外企业管理实践中的经典案例。课程采用以学生为中心的多元化教学方式，结合案例分析、小组研讨和实践项目，引导学生运用理论分析真实企业问题，培养管理思维与团队协作能力。学习要求包括课前阅读、课堂参与、小组展示和案例分析报告，考核注重平时表现与综合应用能力的结合。通过本课程，学生将掌握管理学基础知识，增强组织协调与沟通能力，为未来从事国际商务或基层管理工作打下理论与实践基础。</w:t>
            </w:r>
          </w:p>
        </w:tc>
      </w:tr>
      <w:tr w14:paraId="4D11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8" w:hRule="atLeast"/>
        </w:trPr>
        <w:tc>
          <w:tcPr>
            <w:tcW w:w="1658" w:type="dxa"/>
            <w:vAlign w:val="center"/>
          </w:tcPr>
          <w:p w14:paraId="7AD71808">
            <w:pPr>
              <w:jc w:val="center"/>
              <w:rPr>
                <w:rFonts w:ascii="Arial" w:hAnsi="Arial" w:eastAsia="黑体" w:cs="Arial"/>
                <w:szCs w:val="21"/>
              </w:rPr>
            </w:pPr>
            <w:r>
              <w:rPr>
                <w:rFonts w:ascii="Arial" w:hAnsi="Arial" w:eastAsia="黑体" w:cs="Arial"/>
                <w:szCs w:val="21"/>
              </w:rPr>
              <w:t>课程B</w:t>
            </w:r>
          </w:p>
          <w:p w14:paraId="5F90D9B4">
            <w:pPr>
              <w:jc w:val="center"/>
              <w:rPr>
                <w:rFonts w:hint="eastAsia" w:ascii="Arial" w:hAnsi="Arial" w:eastAsia="黑体" w:cs="Arial"/>
                <w:szCs w:val="21"/>
                <w:lang w:eastAsia="zh-CN"/>
              </w:rPr>
            </w:pPr>
            <w:r>
              <w:rPr>
                <w:rFonts w:hint="eastAsia" w:ascii="Arial" w:hAnsi="Arial" w:eastAsia="黑体" w:cs="Arial"/>
                <w:szCs w:val="21"/>
                <w:lang w:eastAsia="zh-CN"/>
              </w:rPr>
              <w:t>（</w:t>
            </w:r>
            <w:r>
              <w:rPr>
                <w:rFonts w:hint="eastAsia" w:ascii="Arial" w:hAnsi="Arial" w:eastAsia="黑体" w:cs="Arial"/>
                <w:szCs w:val="21"/>
              </w:rPr>
              <w:t>消费行为学0060361</w:t>
            </w:r>
            <w:r>
              <w:rPr>
                <w:rFonts w:hint="eastAsia" w:ascii="Arial" w:hAnsi="Arial" w:eastAsia="黑体" w:cs="Arial"/>
                <w:szCs w:val="21"/>
                <w:lang w:eastAsia="zh-CN"/>
              </w:rPr>
              <w:t>）</w:t>
            </w:r>
          </w:p>
        </w:tc>
        <w:tc>
          <w:tcPr>
            <w:tcW w:w="662" w:type="dxa"/>
            <w:vAlign w:val="center"/>
          </w:tcPr>
          <w:p w14:paraId="28C1E052">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2FA71742">
            <w:pPr>
              <w:rPr>
                <w:rFonts w:hint="eastAsia"/>
                <w:lang w:val="en-US" w:eastAsia="zh-CN"/>
              </w:rPr>
            </w:pPr>
            <w:r>
              <w:rPr>
                <w:rFonts w:hint="eastAsia"/>
                <w:lang w:val="en-US" w:eastAsia="zh-CN"/>
              </w:rPr>
              <w:t>任课教师：潘洪涛，讲师</w:t>
            </w:r>
          </w:p>
          <w:p w14:paraId="4B07A047">
            <w:pPr>
              <w:ind w:firstLine="420" w:firstLineChars="200"/>
              <w:rPr>
                <w:rFonts w:hint="eastAsia" w:ascii="黑体" w:hAnsi="黑体" w:eastAsia="黑体" w:cs="黑体"/>
                <w:lang w:val="zh-CN"/>
              </w:rPr>
            </w:pPr>
            <w:r>
              <w:rPr>
                <w:rFonts w:hint="eastAsia" w:ascii="黑体" w:hAnsi="黑体" w:eastAsia="黑体" w:cs="黑体"/>
                <w:lang w:val="zh-CN"/>
              </w:rPr>
              <w:t>本课程面向数字经济与新零售行业人才需求，以学生为中心，构建知识—AI 技能—综合素养三位一体育人目标。</w:t>
            </w:r>
          </w:p>
          <w:p w14:paraId="4E322C03">
            <w:pPr>
              <w:spacing w:line="340" w:lineRule="atLeast"/>
              <w:ind w:firstLine="420" w:firstLineChars="200"/>
              <w:rPr>
                <w:rFonts w:hint="eastAsia" w:ascii="黑体" w:hAnsi="黑体" w:eastAsia="黑体" w:cs="黑体"/>
                <w:lang w:val="zh-CN"/>
              </w:rPr>
            </w:pPr>
            <w:r>
              <w:rPr>
                <w:rFonts w:hint="eastAsia" w:ascii="黑体" w:hAnsi="黑体" w:eastAsia="黑体" w:cs="黑体"/>
                <w:lang w:val="en-US" w:eastAsia="zh-CN"/>
              </w:rPr>
              <w:t>知识目标：</w:t>
            </w:r>
            <w:r>
              <w:rPr>
                <w:rFonts w:hint="eastAsia" w:ascii="黑体" w:hAnsi="黑体" w:eastAsia="黑体" w:cs="黑体"/>
                <w:lang w:val="zh-CN"/>
              </w:rPr>
              <w:t>掌握消费心理学基础理论与消费者决策机制，理解大数据消费行为、AI消费者洞察、OpenCLAW智能实验平台的应用原理。</w:t>
            </w:r>
          </w:p>
          <w:p w14:paraId="432D8B5B">
            <w:pPr>
              <w:spacing w:line="340" w:lineRule="atLeast"/>
              <w:ind w:firstLine="420" w:firstLineChars="200"/>
              <w:rPr>
                <w:rFonts w:hint="eastAsia" w:ascii="黑体" w:hAnsi="黑体" w:eastAsia="黑体" w:cs="黑体"/>
                <w:lang w:val="zh-CN"/>
              </w:rPr>
            </w:pPr>
            <w:r>
              <w:rPr>
                <w:rFonts w:hint="eastAsia" w:ascii="黑体" w:hAnsi="黑体" w:eastAsia="黑体" w:cs="黑体"/>
                <w:lang w:val="zh-CN"/>
              </w:rPr>
              <w:t>技能目标：能熟练运用OpenCLAW平台开展消费心理实验设计、数据采集、智能分析、结果可视化与实验报告生成，具备消费者画像、情绪识别、行为预测、广告效果评估等实操能力。</w:t>
            </w:r>
          </w:p>
          <w:p w14:paraId="57A28C86">
            <w:pPr>
              <w:spacing w:line="340" w:lineRule="atLeast"/>
              <w:ind w:firstLine="420" w:firstLineChars="200"/>
              <w:rPr>
                <w:rFonts w:hint="eastAsia" w:ascii="黑体" w:hAnsi="黑体" w:eastAsia="黑体" w:cs="黑体"/>
                <w:lang w:val="zh-CN"/>
              </w:rPr>
            </w:pPr>
            <w:r>
              <w:rPr>
                <w:rFonts w:hint="eastAsia" w:ascii="黑体" w:hAnsi="黑体" w:eastAsia="黑体" w:cs="黑体"/>
                <w:lang w:val="zh-CN"/>
              </w:rPr>
              <w:t>素养目标：坚守数据伦理、隐私保护、理性消费、诚信营销课程思政底线，形成 “心理学 + AI + 商业” 跨学科创新思维，精准对接企业数字化营销岗位核心能力要求。</w:t>
            </w:r>
          </w:p>
          <w:p w14:paraId="19AF160E">
            <w:pPr>
              <w:spacing w:line="340" w:lineRule="atLeast"/>
              <w:ind w:firstLine="420" w:firstLineChars="200"/>
            </w:pPr>
            <w:r>
              <w:rPr>
                <w:rFonts w:hint="eastAsia" w:ascii="黑体" w:hAnsi="黑体" w:eastAsia="黑体" w:cs="黑体"/>
                <w:lang w:val="zh-CN"/>
              </w:rPr>
              <w:t>考核包括课堂互动与探究任务、经典心理实验报告、OpenCLAW 智能实验与数据分析成果、企业实战项目方案</w:t>
            </w:r>
            <w:r>
              <w:rPr>
                <w:rFonts w:hint="eastAsia" w:ascii="黑体" w:hAnsi="黑体" w:eastAsia="黑体" w:cs="黑体"/>
                <w:lang w:val="en-US" w:eastAsia="zh-CN"/>
              </w:rPr>
              <w:t>等，</w:t>
            </w:r>
            <w:r>
              <w:rPr>
                <w:rFonts w:hint="eastAsia" w:ascii="黑体" w:hAnsi="黑体" w:eastAsia="黑体" w:cs="黑体"/>
                <w:lang w:val="zh-CN"/>
              </w:rPr>
              <w:t>重点考察消费心理理论应用、OpenCLAW 操作、数据解读与营销落地能力。</w:t>
            </w:r>
          </w:p>
        </w:tc>
      </w:tr>
      <w:tr w14:paraId="6C8A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1658" w:type="dxa"/>
            <w:vAlign w:val="center"/>
          </w:tcPr>
          <w:p w14:paraId="220EA4B2">
            <w:pPr>
              <w:jc w:val="center"/>
              <w:rPr>
                <w:rFonts w:ascii="Arial" w:hAnsi="Arial" w:eastAsia="黑体" w:cs="Arial"/>
                <w:szCs w:val="21"/>
              </w:rPr>
            </w:pPr>
            <w:r>
              <w:rPr>
                <w:rFonts w:ascii="Arial" w:hAnsi="Arial" w:eastAsia="黑体" w:cs="Arial"/>
                <w:szCs w:val="21"/>
              </w:rPr>
              <w:t>课程C</w:t>
            </w:r>
          </w:p>
          <w:p w14:paraId="4690AFB3">
            <w:pPr>
              <w:jc w:val="center"/>
              <w:rPr>
                <w:rFonts w:hint="eastAsia" w:ascii="Arial" w:hAnsi="Arial" w:eastAsia="黑体" w:cs="Arial"/>
                <w:szCs w:val="21"/>
                <w:lang w:eastAsia="zh-CN"/>
              </w:rPr>
            </w:pPr>
            <w:r>
              <w:rPr>
                <w:rFonts w:hint="eastAsia" w:ascii="Arial" w:hAnsi="Arial" w:eastAsia="黑体" w:cs="Arial"/>
                <w:szCs w:val="21"/>
                <w:lang w:eastAsia="zh-CN"/>
              </w:rPr>
              <w:t>（</w:t>
            </w:r>
            <w:r>
              <w:rPr>
                <w:rFonts w:hint="eastAsia" w:ascii="Arial" w:hAnsi="Arial" w:eastAsia="黑体" w:cs="Arial"/>
                <w:szCs w:val="21"/>
              </w:rPr>
              <w:t>跨境电子商务物流0010216</w:t>
            </w:r>
            <w:r>
              <w:rPr>
                <w:rFonts w:hint="eastAsia" w:ascii="Arial" w:hAnsi="Arial" w:eastAsia="黑体" w:cs="Arial"/>
                <w:szCs w:val="21"/>
                <w:lang w:eastAsia="zh-CN"/>
              </w:rPr>
              <w:t>）</w:t>
            </w:r>
          </w:p>
        </w:tc>
        <w:tc>
          <w:tcPr>
            <w:tcW w:w="662" w:type="dxa"/>
            <w:vAlign w:val="center"/>
          </w:tcPr>
          <w:p w14:paraId="37B142A4">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05FAFD1F">
            <w:pPr>
              <w:rPr>
                <w:rFonts w:hint="default" w:ascii="黑体" w:hAnsi="黑体" w:eastAsia="黑体" w:cs="黑体"/>
                <w:lang w:val="en-US" w:eastAsia="zh-CN"/>
              </w:rPr>
            </w:pPr>
            <w:r>
              <w:rPr>
                <w:rFonts w:hint="eastAsia" w:ascii="黑体" w:hAnsi="黑体" w:eastAsia="黑体" w:cs="黑体"/>
                <w:lang w:val="en-US" w:eastAsia="zh-CN"/>
              </w:rPr>
              <w:t>任课教师：熊伟，讲师。</w:t>
            </w:r>
          </w:p>
          <w:p w14:paraId="2656548A">
            <w:r>
              <w:rPr>
                <w:rFonts w:hint="eastAsia" w:ascii="黑体" w:hAnsi="黑体" w:eastAsia="黑体" w:cs="黑体"/>
                <w:lang w:val="en-US" w:eastAsia="zh-CN"/>
              </w:rPr>
              <w:t>本课程系统讲授跨境电子商务物流的核心概念、运作模式与管理实务，内容涵盖跨境物流概述、国际商业快递、专线物流、海外仓运作、通关流程、物流信息技术应用以及物流风险管理等方面。</w:t>
            </w:r>
            <w:r>
              <w:rPr>
                <w:rFonts w:hint="default" w:ascii="黑体" w:hAnsi="黑体" w:eastAsia="黑体" w:cs="黑体"/>
                <w:lang w:val="en-US" w:eastAsia="zh-CN"/>
              </w:rPr>
              <w:t>课程旨在帮助学生理解跨境商品从出口到送达消费者手中的完整物流链条，掌握不同物流模式的特点与选择策略，分析海外仓的运营成本与选品逻辑，并熟悉跨境电商平台（如速卖通、亚马逊）的运费模板设置与发货流程</w:t>
            </w:r>
            <w:r>
              <w:rPr>
                <w:rFonts w:hint="eastAsia" w:ascii="黑体" w:hAnsi="黑体" w:eastAsia="黑体" w:cs="黑体"/>
                <w:lang w:val="en-US" w:eastAsia="zh-CN"/>
              </w:rPr>
              <w:t>。</w:t>
            </w:r>
            <w:r>
              <w:rPr>
                <w:rFonts w:hint="default" w:ascii="黑体" w:hAnsi="黑体" w:eastAsia="黑体" w:cs="黑体"/>
                <w:lang w:val="en-US" w:eastAsia="zh-CN"/>
              </w:rPr>
              <w:t>教学方法采用案例分析与项目</w:t>
            </w:r>
            <w:r>
              <w:rPr>
                <w:rFonts w:hint="eastAsia" w:ascii="黑体" w:hAnsi="黑体" w:eastAsia="黑体" w:cs="黑体"/>
                <w:lang w:val="en-US" w:eastAsia="zh-CN"/>
              </w:rPr>
              <w:t>是件</w:t>
            </w:r>
            <w:r>
              <w:rPr>
                <w:rFonts w:hint="default" w:ascii="黑体" w:hAnsi="黑体" w:eastAsia="黑体" w:cs="黑体"/>
                <w:lang w:val="en-US" w:eastAsia="zh-CN"/>
              </w:rPr>
              <w:t>相结合，引入真实企业案例，引导学生在模拟情境中进行物流方案设计与成本核算，培养解决实际问题的能力学习</w:t>
            </w:r>
            <w:r>
              <w:rPr>
                <w:rFonts w:hint="eastAsia" w:ascii="黑体" w:hAnsi="黑体" w:eastAsia="黑体" w:cs="黑体"/>
                <w:lang w:val="en-US" w:eastAsia="zh-CN"/>
              </w:rPr>
              <w:t>。</w:t>
            </w:r>
            <w:r>
              <w:rPr>
                <w:rFonts w:hint="default" w:ascii="黑体" w:hAnsi="黑体" w:eastAsia="黑体" w:cs="黑体"/>
                <w:lang w:val="en-US" w:eastAsia="zh-CN"/>
              </w:rPr>
              <w:t>要求包括课前阅读、课堂参与、小组物流方案设计报告及案例分析，考核注重理论理解与实践应用的综合表现</w:t>
            </w:r>
            <w:r>
              <w:rPr>
                <w:rFonts w:hint="eastAsia" w:ascii="黑体" w:hAnsi="黑体" w:eastAsia="黑体" w:cs="黑体"/>
                <w:lang w:val="en-US" w:eastAsia="zh-CN"/>
              </w:rPr>
              <w:t>。</w:t>
            </w:r>
            <w:r>
              <w:rPr>
                <w:rFonts w:hint="default" w:ascii="黑体" w:hAnsi="黑体" w:eastAsia="黑体" w:cs="黑体"/>
                <w:lang w:val="en-US" w:eastAsia="zh-CN"/>
              </w:rPr>
              <w:t>通过本课程，学生将能够运用跨境物流知识支撑国际商务实践，为从事跨境电商运营、供应链管理等相关工作奠定基础。</w:t>
            </w:r>
          </w:p>
        </w:tc>
      </w:tr>
      <w:tr w14:paraId="1C2B1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7" w:hRule="atLeast"/>
        </w:trPr>
        <w:tc>
          <w:tcPr>
            <w:tcW w:w="1658" w:type="dxa"/>
            <w:vAlign w:val="center"/>
          </w:tcPr>
          <w:p w14:paraId="7BE060F1">
            <w:pPr>
              <w:jc w:val="center"/>
              <w:rPr>
                <w:rFonts w:hint="eastAsia" w:ascii="Arial" w:hAnsi="Arial" w:eastAsia="黑体" w:cs="Arial"/>
                <w:szCs w:val="21"/>
                <w:lang w:val="en-US" w:eastAsia="zh-CN"/>
              </w:rPr>
            </w:pPr>
            <w:r>
              <w:rPr>
                <w:rFonts w:ascii="Arial" w:hAnsi="Arial" w:eastAsia="黑体" w:cs="Arial"/>
                <w:szCs w:val="21"/>
              </w:rPr>
              <w:t>课程</w:t>
            </w:r>
            <w:r>
              <w:rPr>
                <w:rFonts w:hint="eastAsia" w:ascii="Arial" w:hAnsi="Arial" w:eastAsia="黑体" w:cs="Arial"/>
                <w:szCs w:val="21"/>
                <w:lang w:val="en-US" w:eastAsia="zh-CN"/>
              </w:rPr>
              <w:t>D</w:t>
            </w:r>
          </w:p>
          <w:p w14:paraId="3CABB89F">
            <w:pPr>
              <w:jc w:val="center"/>
              <w:rPr>
                <w:rFonts w:hint="eastAsia" w:ascii="Arial" w:hAnsi="Arial" w:eastAsia="黑体" w:cs="Arial"/>
                <w:szCs w:val="21"/>
                <w:lang w:val="en-US" w:eastAsia="zh-CN"/>
              </w:rPr>
            </w:pPr>
            <w:r>
              <w:rPr>
                <w:rFonts w:hint="eastAsia" w:ascii="Arial" w:hAnsi="Arial" w:eastAsia="黑体" w:cs="Arial"/>
                <w:szCs w:val="21"/>
                <w:lang w:val="en-US" w:eastAsia="zh-CN"/>
              </w:rPr>
              <w:t>(</w:t>
            </w:r>
            <w:r>
              <w:rPr>
                <w:rFonts w:hint="eastAsia" w:ascii="Arial" w:hAnsi="Arial" w:eastAsia="黑体" w:cs="Arial"/>
                <w:szCs w:val="21"/>
              </w:rPr>
              <w:t>财务报表分析0010185</w:t>
            </w:r>
            <w:r>
              <w:rPr>
                <w:rFonts w:hint="eastAsia" w:ascii="Arial" w:hAnsi="Arial" w:eastAsia="黑体" w:cs="Arial"/>
                <w:szCs w:val="21"/>
                <w:lang w:val="en-US" w:eastAsia="zh-CN"/>
              </w:rPr>
              <w:t>)</w:t>
            </w:r>
          </w:p>
        </w:tc>
        <w:tc>
          <w:tcPr>
            <w:tcW w:w="662" w:type="dxa"/>
            <w:vAlign w:val="center"/>
          </w:tcPr>
          <w:p w14:paraId="4D3BB6A0">
            <w:pPr>
              <w:jc w:val="center"/>
              <w:rPr>
                <w:rFonts w:hint="eastAsia" w:ascii="Arial" w:hAnsi="Arial" w:eastAsia="黑体" w:cs="Arial"/>
                <w:szCs w:val="21"/>
                <w:lang w:val="en-US" w:eastAsia="zh-CN"/>
              </w:rPr>
            </w:pPr>
            <w:r>
              <w:rPr>
                <w:rFonts w:hint="eastAsia" w:ascii="Arial" w:hAnsi="Arial" w:eastAsia="黑体" w:cs="Arial"/>
                <w:szCs w:val="21"/>
                <w:lang w:val="en-US" w:eastAsia="zh-CN"/>
              </w:rPr>
              <w:t>2</w:t>
            </w:r>
          </w:p>
        </w:tc>
        <w:tc>
          <w:tcPr>
            <w:tcW w:w="6922" w:type="dxa"/>
          </w:tcPr>
          <w:p w14:paraId="360D664E">
            <w:pPr>
              <w:rPr>
                <w:rFonts w:hint="eastAsia"/>
                <w:lang w:val="en-US" w:eastAsia="zh-CN"/>
              </w:rPr>
            </w:pPr>
            <w:r>
              <w:rPr>
                <w:rFonts w:hint="eastAsia"/>
                <w:lang w:val="en-US" w:eastAsia="zh-CN"/>
              </w:rPr>
              <w:t>任课教师：李蓓蓓，副教授。</w:t>
            </w:r>
          </w:p>
          <w:p w14:paraId="4FD93466">
            <w:pPr>
              <w:rPr>
                <w:rFonts w:hint="eastAsia" w:ascii="黑体" w:hAnsi="黑体" w:eastAsia="黑体" w:cs="黑体"/>
                <w:lang w:val="en-US" w:eastAsia="zh-CN"/>
              </w:rPr>
            </w:pPr>
            <w:r>
              <w:rPr>
                <w:rFonts w:hint="default" w:ascii="黑体" w:hAnsi="黑体" w:eastAsia="黑体" w:cs="黑体"/>
                <w:lang w:val="en-US" w:eastAsia="zh-CN"/>
              </w:rPr>
              <w:t>本课程旨在帮助学生掌握财务报表解读与分析的基本方法，培养从财务视角理解企业运营的能力。课程内容涵盖财务报表分析的基础知识，包括资产负债表、利润表和现金流量表的解读，以及偿债能力、营运能力、盈利能力和发展能力等关键财务指标的计算与分析。课程将引导学生了解财务报表之间的关系，学习如何通过财务数据识别企业经营中存在的问题，并初步掌握撰写财务分析报告的基本方法。教学方法采用案例教学与项目实训相结合，选取国内外知名企业的真实财务报表作为分析素材，引导学生在实际操作中运用比率分析、趋势分析等工具，培养数据解读与逻辑分析能力。学习要求包括课前阅读、课堂参与、小组财务分析报告撰写及期末案例分析，考核注重理论理解与实际应用的综合表现。通过本课程，学生将能够读懂常用财务报表，运用基本分析工具评估企业经营状况，为未来从事国际商务、外贸管理或跨境电商运营等工作奠定财务认知基础。</w:t>
            </w:r>
          </w:p>
          <w:p w14:paraId="5E815E22">
            <w:pPr>
              <w:rPr>
                <w:rFonts w:hint="default"/>
                <w:lang w:val="en-US" w:eastAsia="zh-CN"/>
              </w:rPr>
            </w:pPr>
          </w:p>
        </w:tc>
      </w:tr>
      <w:tr w14:paraId="4927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72D47A11">
            <w:pPr>
              <w:jc w:val="center"/>
              <w:rPr>
                <w:rFonts w:ascii="Arial" w:hAnsi="Arial" w:eastAsia="黑体" w:cs="Arial"/>
                <w:szCs w:val="21"/>
              </w:rPr>
            </w:pPr>
            <w:r>
              <w:rPr>
                <w:rFonts w:ascii="Arial" w:hAnsi="Arial" w:eastAsia="黑体" w:cs="Arial"/>
                <w:szCs w:val="21"/>
              </w:rPr>
              <w:t>选课说明</w:t>
            </w:r>
          </w:p>
        </w:tc>
        <w:tc>
          <w:tcPr>
            <w:tcW w:w="7584" w:type="dxa"/>
            <w:gridSpan w:val="2"/>
          </w:tcPr>
          <w:p w14:paraId="6A9AA4ED">
            <w:r>
              <w:rPr>
                <w:rFonts w:hint="eastAsia" w:ascii="黑体" w:hAnsi="黑体" w:eastAsia="黑体" w:cs="黑体"/>
                <w:lang w:val="zh-CN"/>
              </w:rPr>
              <w:t>以上三</w:t>
            </w:r>
            <w:r>
              <w:rPr>
                <w:rFonts w:ascii="黑体" w:hAnsi="黑体" w:eastAsia="黑体" w:cs="黑体"/>
                <w:lang w:val="zh-CN"/>
              </w:rPr>
              <w:t>门选修课</w:t>
            </w:r>
            <w:r>
              <w:rPr>
                <w:rFonts w:hint="eastAsia" w:ascii="黑体" w:hAnsi="黑体" w:eastAsia="黑体" w:cs="黑体"/>
                <w:lang w:val="zh-CN"/>
              </w:rPr>
              <w:t>授课</w:t>
            </w:r>
            <w:r>
              <w:rPr>
                <w:rFonts w:ascii="黑体" w:hAnsi="黑体" w:eastAsia="黑体" w:cs="黑体"/>
                <w:lang w:val="zh-CN"/>
              </w:rPr>
              <w:t>对象是</w:t>
            </w:r>
            <w:r>
              <w:rPr>
                <w:rFonts w:hint="eastAsia" w:ascii="黑体" w:hAnsi="黑体" w:eastAsia="黑体" w:cs="黑体"/>
                <w:lang w:val="zh-CN"/>
              </w:rPr>
              <w:t>商务英语专业</w:t>
            </w:r>
            <w:r>
              <w:rPr>
                <w:rFonts w:hint="eastAsia" w:ascii="黑体" w:hAnsi="黑体" w:eastAsia="黑体" w:cs="黑体"/>
                <w:lang w:val="en-US" w:eastAsia="zh-CN"/>
              </w:rPr>
              <w:t>二</w:t>
            </w:r>
            <w:r>
              <w:rPr>
                <w:rFonts w:hint="eastAsia" w:ascii="黑体" w:hAnsi="黑体" w:eastAsia="黑体" w:cs="黑体"/>
                <w:lang w:val="zh-CN"/>
              </w:rPr>
              <w:t>年级（商英2</w:t>
            </w:r>
            <w:r>
              <w:rPr>
                <w:rFonts w:ascii="黑体" w:hAnsi="黑体" w:eastAsia="黑体" w:cs="黑体"/>
                <w:lang w:val="zh-CN"/>
              </w:rPr>
              <w:t>5级</w:t>
            </w:r>
            <w:r>
              <w:rPr>
                <w:rFonts w:hint="eastAsia" w:ascii="黑体" w:hAnsi="黑体" w:eastAsia="黑体" w:cs="黑体"/>
                <w:lang w:val="zh-CN"/>
              </w:rPr>
              <w:t>）学生。选课人数</w:t>
            </w:r>
            <w:r>
              <w:rPr>
                <w:rFonts w:ascii="黑体" w:hAnsi="黑体" w:eastAsia="黑体" w:cs="黑体"/>
                <w:lang w:val="zh-CN"/>
              </w:rPr>
              <w:t>满</w:t>
            </w:r>
            <w:r>
              <w:rPr>
                <w:rFonts w:hint="eastAsia" w:ascii="黑体" w:hAnsi="黑体" w:eastAsia="黑体" w:cs="黑体"/>
                <w:lang w:val="zh-CN"/>
              </w:rPr>
              <w:t>2</w:t>
            </w:r>
            <w:r>
              <w:rPr>
                <w:rFonts w:ascii="黑体" w:hAnsi="黑体" w:eastAsia="黑体" w:cs="黑体"/>
                <w:lang w:val="zh-CN"/>
              </w:rPr>
              <w:t>0人开课</w:t>
            </w:r>
            <w:r>
              <w:rPr>
                <w:rFonts w:hint="eastAsia" w:ascii="黑体" w:hAnsi="黑体" w:eastAsia="黑体" w:cs="黑体"/>
                <w:lang w:val="zh-CN"/>
              </w:rPr>
              <w:t>。</w:t>
            </w:r>
            <w:r>
              <w:rPr>
                <w:rFonts w:ascii="黑体" w:hAnsi="黑体" w:eastAsia="黑体" w:cs="黑体"/>
                <w:lang w:val="zh-CN"/>
              </w:rPr>
              <w:t>要求学生</w:t>
            </w:r>
            <w:r>
              <w:rPr>
                <w:rFonts w:hint="eastAsia" w:ascii="黑体" w:hAnsi="黑体" w:eastAsia="黑体" w:cs="黑体"/>
                <w:lang w:val="en-US" w:eastAsia="zh-CN"/>
              </w:rPr>
              <w:t>四</w:t>
            </w:r>
            <w:r>
              <w:rPr>
                <w:rFonts w:ascii="黑体" w:hAnsi="黑体" w:eastAsia="黑体" w:cs="黑体"/>
                <w:lang w:val="zh-CN"/>
              </w:rPr>
              <w:t>选一，</w:t>
            </w:r>
            <w:r>
              <w:rPr>
                <w:rFonts w:hint="eastAsia" w:ascii="黑体" w:hAnsi="黑体" w:eastAsia="黑体" w:cs="黑体"/>
                <w:lang w:val="zh-CN"/>
              </w:rPr>
              <w:t>从</w:t>
            </w:r>
            <w:r>
              <w:rPr>
                <w:rFonts w:ascii="黑体" w:hAnsi="黑体" w:eastAsia="黑体" w:cs="黑体"/>
                <w:lang w:val="zh-CN"/>
              </w:rPr>
              <w:t>上述课程中选择其一，修满</w:t>
            </w:r>
            <w:r>
              <w:rPr>
                <w:rFonts w:hint="eastAsia" w:ascii="黑体" w:hAnsi="黑体" w:eastAsia="黑体" w:cs="黑体"/>
                <w:lang w:val="zh-CN"/>
              </w:rPr>
              <w:t>2个</w:t>
            </w:r>
            <w:r>
              <w:rPr>
                <w:rFonts w:ascii="黑体" w:hAnsi="黑体" w:eastAsia="黑体" w:cs="黑体"/>
                <w:lang w:val="zh-CN"/>
              </w:rPr>
              <w:t>学分。</w:t>
            </w:r>
          </w:p>
          <w:p w14:paraId="5C5BCF2B"/>
        </w:tc>
      </w:tr>
    </w:tbl>
    <w:p w14:paraId="1001AA0F">
      <w:bookmarkStart w:id="0" w:name="_GoBack"/>
      <w:bookmarkEnd w:id="0"/>
    </w:p>
    <w:p w14:paraId="3F303BBE">
      <w:pPr>
        <w:pStyle w:val="11"/>
        <w:rPr>
          <w:rFonts w:ascii="宋体" w:hAnsi="宋体" w:eastAsia="宋体"/>
        </w:rPr>
      </w:pPr>
      <w:r>
        <w:rPr>
          <w:rFonts w:hint="eastAsia" w:ascii="宋体" w:hAnsi="宋体" w:eastAsia="宋体"/>
        </w:rPr>
        <w:t>说明：</w:t>
      </w:r>
    </w:p>
    <w:p w14:paraId="2FE42214">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14:paraId="7BAEBFA0">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14:paraId="1338DE7E">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302"/>
    <w:rsid w:val="0000406C"/>
    <w:rsid w:val="000053BD"/>
    <w:rsid w:val="000253C5"/>
    <w:rsid w:val="000528C9"/>
    <w:rsid w:val="000B5EC4"/>
    <w:rsid w:val="00134494"/>
    <w:rsid w:val="0014026B"/>
    <w:rsid w:val="001A71FE"/>
    <w:rsid w:val="001B4AE0"/>
    <w:rsid w:val="001B552E"/>
    <w:rsid w:val="001B5C78"/>
    <w:rsid w:val="00212BB2"/>
    <w:rsid w:val="002359B5"/>
    <w:rsid w:val="002850AC"/>
    <w:rsid w:val="002B7D9F"/>
    <w:rsid w:val="002C5F95"/>
    <w:rsid w:val="002D462A"/>
    <w:rsid w:val="002D5B5B"/>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318CC"/>
    <w:rsid w:val="00786E78"/>
    <w:rsid w:val="00797170"/>
    <w:rsid w:val="007A1E94"/>
    <w:rsid w:val="007C5FFD"/>
    <w:rsid w:val="007E15B2"/>
    <w:rsid w:val="00843979"/>
    <w:rsid w:val="00847AC5"/>
    <w:rsid w:val="0088311C"/>
    <w:rsid w:val="008B73F7"/>
    <w:rsid w:val="008F73D3"/>
    <w:rsid w:val="00923BBF"/>
    <w:rsid w:val="00971E15"/>
    <w:rsid w:val="00994576"/>
    <w:rsid w:val="009A3F3E"/>
    <w:rsid w:val="009C483A"/>
    <w:rsid w:val="00A00290"/>
    <w:rsid w:val="00A338B1"/>
    <w:rsid w:val="00A812B9"/>
    <w:rsid w:val="00A96D0C"/>
    <w:rsid w:val="00AB046E"/>
    <w:rsid w:val="00AF1B95"/>
    <w:rsid w:val="00AF6601"/>
    <w:rsid w:val="00B021F1"/>
    <w:rsid w:val="00B151A4"/>
    <w:rsid w:val="00B35B6A"/>
    <w:rsid w:val="00B45F81"/>
    <w:rsid w:val="00B7295C"/>
    <w:rsid w:val="00B766A2"/>
    <w:rsid w:val="00BD25AC"/>
    <w:rsid w:val="00BF6ADF"/>
    <w:rsid w:val="00C04247"/>
    <w:rsid w:val="00C549E4"/>
    <w:rsid w:val="00CE1D67"/>
    <w:rsid w:val="00CE5AB6"/>
    <w:rsid w:val="00D102EB"/>
    <w:rsid w:val="00D17776"/>
    <w:rsid w:val="00D17E84"/>
    <w:rsid w:val="00D366A1"/>
    <w:rsid w:val="00D670B3"/>
    <w:rsid w:val="00DA1023"/>
    <w:rsid w:val="00DE22B3"/>
    <w:rsid w:val="00DF6F32"/>
    <w:rsid w:val="00E02480"/>
    <w:rsid w:val="00E45197"/>
    <w:rsid w:val="00E64B15"/>
    <w:rsid w:val="00F15EED"/>
    <w:rsid w:val="00F45671"/>
    <w:rsid w:val="00F86228"/>
    <w:rsid w:val="00FF3F9A"/>
    <w:rsid w:val="0DE93B18"/>
    <w:rsid w:val="5B2D3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4"/>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5"/>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6"/>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7"/>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8"/>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9"/>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40"/>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41"/>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51"/>
    <w:unhideWhenUsed/>
    <w:qFormat/>
    <w:uiPriority w:val="99"/>
    <w:pPr>
      <w:tabs>
        <w:tab w:val="center" w:pos="4153"/>
        <w:tab w:val="right" w:pos="8306"/>
      </w:tabs>
      <w:snapToGrid w:val="0"/>
      <w:jc w:val="left"/>
    </w:pPr>
    <w:rPr>
      <w:sz w:val="18"/>
      <w:szCs w:val="18"/>
    </w:rPr>
  </w:style>
  <w:style w:type="paragraph" w:styleId="12">
    <w:name w:val="header"/>
    <w:basedOn w:val="1"/>
    <w:link w:val="50"/>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3"/>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rPr>
  </w:style>
  <w:style w:type="paragraph" w:styleId="15">
    <w:name w:val="Title"/>
    <w:basedOn w:val="1"/>
    <w:next w:val="1"/>
    <w:link w:val="42"/>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Hyperlink"/>
    <w:basedOn w:val="18"/>
    <w:semiHidden/>
    <w:unhideWhenUsed/>
    <w:qFormat/>
    <w:uiPriority w:val="99"/>
    <w:rPr>
      <w:color w:val="0000FF"/>
      <w:u w:val="single"/>
    </w:rPr>
  </w:style>
  <w:style w:type="paragraph" w:customStyle="1" w:styleId="21">
    <w:name w:val="正文XXX"/>
    <w:basedOn w:val="22"/>
    <w:autoRedefine/>
    <w:qFormat/>
    <w:uiPriority w:val="0"/>
    <w:pPr>
      <w:spacing w:line="440" w:lineRule="exact"/>
      <w:ind w:firstLine="480"/>
      <w:jc w:val="left"/>
    </w:pPr>
    <w:rPr>
      <w:rFonts w:ascii="Times New Roman" w:hAnsi="Times New Roman" w:eastAsia="宋体" w:cs="Times New Roman"/>
      <w:sz w:val="24"/>
    </w:rPr>
  </w:style>
  <w:style w:type="paragraph" w:styleId="22">
    <w:name w:val="List Paragraph"/>
    <w:basedOn w:val="1"/>
    <w:qFormat/>
    <w:uiPriority w:val="34"/>
    <w:pPr>
      <w:ind w:firstLine="420" w:firstLineChars="200"/>
    </w:pPr>
  </w:style>
  <w:style w:type="paragraph" w:customStyle="1" w:styleId="23">
    <w:name w:val="正文说明XXX"/>
    <w:basedOn w:val="21"/>
    <w:autoRedefine/>
    <w:qFormat/>
    <w:uiPriority w:val="0"/>
    <w:pPr>
      <w:ind w:left="200" w:hanging="200" w:hangingChars="200"/>
    </w:pPr>
  </w:style>
  <w:style w:type="paragraph" w:customStyle="1" w:styleId="24">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5">
    <w:name w:val="标题 4 字符"/>
    <w:basedOn w:val="18"/>
    <w:link w:val="5"/>
    <w:semiHidden/>
    <w:uiPriority w:val="9"/>
    <w:rPr>
      <w:rFonts w:asciiTheme="majorHAnsi" w:hAnsiTheme="majorHAnsi" w:eastAsiaTheme="majorEastAsia" w:cstheme="majorBidi"/>
      <w:b/>
      <w:bCs/>
      <w:sz w:val="28"/>
      <w:szCs w:val="28"/>
    </w:rPr>
  </w:style>
  <w:style w:type="paragraph" w:customStyle="1" w:styleId="26">
    <w:name w:val="ISO二级标题"/>
    <w:basedOn w:val="21"/>
    <w:next w:val="21"/>
    <w:qFormat/>
    <w:uiPriority w:val="0"/>
    <w:rPr>
      <w:b/>
    </w:rPr>
  </w:style>
  <w:style w:type="paragraph" w:customStyle="1" w:styleId="27">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8">
    <w:name w:val="表格标题"/>
    <w:basedOn w:val="1"/>
    <w:qFormat/>
    <w:uiPriority w:val="0"/>
    <w:pPr>
      <w:snapToGrid w:val="0"/>
      <w:jc w:val="center"/>
    </w:pPr>
    <w:rPr>
      <w:rFonts w:ascii="Arial" w:hAnsi="Arial" w:eastAsia="黑体" w:cs="Times New Roman"/>
      <w:bCs/>
      <w:color w:val="000000"/>
      <w:szCs w:val="20"/>
    </w:rPr>
  </w:style>
  <w:style w:type="paragraph" w:customStyle="1" w:styleId="29">
    <w:name w:val="一级标题"/>
    <w:basedOn w:val="1"/>
    <w:qFormat/>
    <w:uiPriority w:val="0"/>
    <w:pPr>
      <w:spacing w:line="480" w:lineRule="auto"/>
      <w:outlineLvl w:val="0"/>
    </w:pPr>
    <w:rPr>
      <w:rFonts w:ascii="Arial" w:hAnsi="Arial" w:eastAsia="黑体" w:cs="Times New Roman"/>
      <w:sz w:val="24"/>
      <w:szCs w:val="22"/>
    </w:rPr>
  </w:style>
  <w:style w:type="paragraph" w:customStyle="1" w:styleId="30">
    <w:name w:val="标题正文"/>
    <w:basedOn w:val="1"/>
    <w:qFormat/>
    <w:uiPriority w:val="0"/>
    <w:pPr>
      <w:jc w:val="center"/>
    </w:pPr>
    <w:rPr>
      <w:rFonts w:ascii="Times New Roman" w:hAnsi="Times New Roman" w:eastAsia="宋体" w:cs="Times New Roman"/>
      <w:color w:val="000000"/>
      <w:kern w:val="0"/>
      <w:szCs w:val="21"/>
    </w:rPr>
  </w:style>
  <w:style w:type="paragraph" w:customStyle="1" w:styleId="31">
    <w:name w:val="正文DG"/>
    <w:basedOn w:val="1"/>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2">
    <w:name w:val="二级标题DG"/>
    <w:basedOn w:val="14"/>
    <w:qFormat/>
    <w:uiPriority w:val="0"/>
    <w:pPr>
      <w:widowControl/>
      <w:spacing w:before="50" w:beforeLines="50" w:after="50" w:afterLines="50" w:line="440" w:lineRule="exact"/>
      <w:jc w:val="left"/>
      <w:outlineLvl w:val="1"/>
    </w:pPr>
    <w:rPr>
      <w:rFonts w:eastAsia="宋体" w:cs="宋体"/>
      <w:b/>
      <w:kern w:val="0"/>
    </w:rPr>
  </w:style>
  <w:style w:type="paragraph" w:customStyle="1" w:styleId="33">
    <w:name w:val="一级标题DG"/>
    <w:basedOn w:val="1"/>
    <w:qFormat/>
    <w:uiPriority w:val="0"/>
    <w:pPr>
      <w:widowControl/>
      <w:spacing w:line="480" w:lineRule="auto"/>
      <w:jc w:val="left"/>
      <w:outlineLvl w:val="0"/>
    </w:pPr>
    <w:rPr>
      <w:rFonts w:ascii="Arial" w:hAnsi="Arial" w:eastAsia="黑体" w:cs="宋体"/>
      <w:kern w:val="0"/>
      <w:sz w:val="28"/>
    </w:rPr>
  </w:style>
  <w:style w:type="character" w:customStyle="1" w:styleId="34">
    <w:name w:val="标题 1 字符"/>
    <w:basedOn w:val="18"/>
    <w:link w:val="2"/>
    <w:uiPriority w:val="9"/>
    <w:rPr>
      <w:rFonts w:asciiTheme="majorHAnsi" w:hAnsiTheme="majorHAnsi" w:eastAsiaTheme="majorEastAsia" w:cstheme="majorBidi"/>
      <w:color w:val="104862" w:themeColor="accent1" w:themeShade="BF"/>
      <w:sz w:val="48"/>
      <w:szCs w:val="48"/>
    </w:rPr>
  </w:style>
  <w:style w:type="character" w:customStyle="1" w:styleId="35">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36">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7">
    <w:name w:val="标题 5 字符"/>
    <w:basedOn w:val="18"/>
    <w:link w:val="6"/>
    <w:semiHidden/>
    <w:uiPriority w:val="9"/>
    <w:rPr>
      <w:rFonts w:cstheme="majorBidi"/>
      <w:color w:val="104862" w:themeColor="accent1" w:themeShade="BF"/>
      <w:sz w:val="24"/>
    </w:rPr>
  </w:style>
  <w:style w:type="character" w:customStyle="1" w:styleId="38">
    <w:name w:val="标题 6 字符"/>
    <w:basedOn w:val="18"/>
    <w:link w:val="7"/>
    <w:semiHidden/>
    <w:qFormat/>
    <w:uiPriority w:val="9"/>
    <w:rPr>
      <w:rFonts w:cstheme="majorBidi"/>
      <w:b/>
      <w:bCs/>
      <w:color w:val="104862" w:themeColor="accent1" w:themeShade="BF"/>
    </w:rPr>
  </w:style>
  <w:style w:type="character" w:customStyle="1" w:styleId="39">
    <w:name w:val="标题 7 字符"/>
    <w:basedOn w:val="18"/>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0">
    <w:name w:val="标题 8 字符"/>
    <w:basedOn w:val="18"/>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1">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2">
    <w:name w:val="标题 字符"/>
    <w:basedOn w:val="18"/>
    <w:link w:val="15"/>
    <w:uiPriority w:val="10"/>
    <w:rPr>
      <w:rFonts w:asciiTheme="majorHAnsi" w:hAnsiTheme="majorHAnsi" w:eastAsiaTheme="majorEastAsia" w:cstheme="majorBidi"/>
      <w:spacing w:val="-10"/>
      <w:kern w:val="28"/>
      <w:sz w:val="56"/>
      <w:szCs w:val="56"/>
    </w:rPr>
  </w:style>
  <w:style w:type="character" w:customStyle="1" w:styleId="43">
    <w:name w:val="副标题 字符"/>
    <w:basedOn w:val="18"/>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4">
    <w:name w:val="Quote"/>
    <w:basedOn w:val="1"/>
    <w:next w:val="1"/>
    <w:link w:val="45"/>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5">
    <w:name w:val="引用 字符"/>
    <w:basedOn w:val="18"/>
    <w:link w:val="44"/>
    <w:qFormat/>
    <w:uiPriority w:val="29"/>
    <w:rPr>
      <w:i/>
      <w:iCs/>
      <w:color w:val="404040" w:themeColor="text1" w:themeTint="BF"/>
      <w14:textFill>
        <w14:solidFill>
          <w14:schemeClr w14:val="tx1">
            <w14:lumMod w14:val="75000"/>
            <w14:lumOff w14:val="25000"/>
          </w14:schemeClr>
        </w14:solidFill>
      </w14:textFill>
    </w:rPr>
  </w:style>
  <w:style w:type="character" w:customStyle="1" w:styleId="46">
    <w:name w:val="Intense Emphasis"/>
    <w:basedOn w:val="18"/>
    <w:qFormat/>
    <w:uiPriority w:val="21"/>
    <w:rPr>
      <w:i/>
      <w:iCs/>
      <w:color w:val="104862" w:themeColor="accent1" w:themeShade="BF"/>
    </w:rPr>
  </w:style>
  <w:style w:type="paragraph" w:styleId="47">
    <w:name w:val="Intense Quote"/>
    <w:basedOn w:val="1"/>
    <w:next w:val="1"/>
    <w:link w:val="48"/>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8">
    <w:name w:val="明显引用 字符"/>
    <w:basedOn w:val="18"/>
    <w:link w:val="47"/>
    <w:qFormat/>
    <w:uiPriority w:val="30"/>
    <w:rPr>
      <w:i/>
      <w:iCs/>
      <w:color w:val="104862" w:themeColor="accent1" w:themeShade="BF"/>
    </w:rPr>
  </w:style>
  <w:style w:type="character" w:customStyle="1" w:styleId="49">
    <w:name w:val="Intense Reference"/>
    <w:basedOn w:val="18"/>
    <w:qFormat/>
    <w:uiPriority w:val="32"/>
    <w:rPr>
      <w:b/>
      <w:bCs/>
      <w:smallCaps/>
      <w:color w:val="104862" w:themeColor="accent1" w:themeShade="BF"/>
      <w:spacing w:val="5"/>
    </w:rPr>
  </w:style>
  <w:style w:type="character" w:customStyle="1" w:styleId="50">
    <w:name w:val="页眉 字符"/>
    <w:basedOn w:val="18"/>
    <w:link w:val="12"/>
    <w:qFormat/>
    <w:uiPriority w:val="99"/>
    <w:rPr>
      <w:sz w:val="18"/>
      <w:szCs w:val="18"/>
    </w:rPr>
  </w:style>
  <w:style w:type="character" w:customStyle="1" w:styleId="51">
    <w:name w:val="页脚 字符"/>
    <w:basedOn w:val="18"/>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1569</Words>
  <Characters>1636</Characters>
  <Lines>2</Lines>
  <Paragraphs>1</Paragraphs>
  <TotalTime>7</TotalTime>
  <ScaleCrop>false</ScaleCrop>
  <LinksUpToDate>false</LinksUpToDate>
  <CharactersWithSpaces>1669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2026-03-10T02:23:00Z</dcterms:created>
  <dc:creator>孙鹏</dc:creator>
  <cp:lastModifiedBy>yujie</cp:lastModifiedBy>
  <dcterms:modified xsi:type="dcterms:W3CDTF">2026-03-19T03:28:45Z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eyJoZGlkIjoiNzZhNDJmM2MyZDNlODRlNWZlNDYzMWFmM2ViZjRjNjIiLCJ1c2VySWQiOiIyNjYwNjQwMjAifQ==</vt:lpwstr>
  </property>
  <property fmtid="{D5CDD505-2E9C-101B-9397-08002B2CF9AE}" pid="3" name="KSOProductBuildVer">
    <vt:lpwstr>2052-12.1.0.25225</vt:lpwstr>
  </property>
  <property fmtid="{D5CDD505-2E9C-101B-9397-08002B2CF9AE}" pid="4" name="ICV">
    <vt:lpwstr>9DD75C37F28242788C2D8FAB124D9F40_12</vt:lpwstr>
  </property>
</Properties>
</file>